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CAB366" w14:textId="77777777" w:rsidR="00112A03" w:rsidRDefault="00112A03"/>
    <w:p w14:paraId="0650F7D8" w14:textId="77777777" w:rsidR="00887A7D" w:rsidRDefault="00887A7D">
      <w:r>
        <w:rPr>
          <w:rFonts w:ascii="Times Roman" w:hAnsi="Times Roman" w:cs="Times Roman"/>
          <w:noProof/>
          <w:color w:val="000000"/>
          <w:lang w:val="it-IT"/>
        </w:rPr>
        <w:drawing>
          <wp:inline distT="0" distB="0" distL="0" distR="0" wp14:anchorId="7E3662A1" wp14:editId="0772A4E4">
            <wp:extent cx="3037205" cy="1518285"/>
            <wp:effectExtent l="0" t="0" r="10795" b="571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7205" cy="1518285"/>
                    </a:xfrm>
                    <a:prstGeom prst="rect">
                      <a:avLst/>
                    </a:prstGeom>
                    <a:noFill/>
                    <a:ln>
                      <a:noFill/>
                    </a:ln>
                  </pic:spPr>
                </pic:pic>
              </a:graphicData>
            </a:graphic>
          </wp:inline>
        </w:drawing>
      </w:r>
    </w:p>
    <w:p w14:paraId="6B40DE40" w14:textId="77777777" w:rsidR="00887A7D" w:rsidRPr="00887A7D" w:rsidRDefault="00887A7D" w:rsidP="00887A7D"/>
    <w:p w14:paraId="329B33B6" w14:textId="77777777" w:rsidR="00887A7D" w:rsidRPr="00887A7D" w:rsidRDefault="00887A7D" w:rsidP="00887A7D"/>
    <w:p w14:paraId="071BADB4" w14:textId="77777777" w:rsidR="00887A7D" w:rsidRPr="00887A7D" w:rsidRDefault="00887A7D" w:rsidP="00887A7D"/>
    <w:p w14:paraId="4BE38B09" w14:textId="77777777" w:rsidR="00887A7D" w:rsidRPr="00887A7D" w:rsidRDefault="00887A7D" w:rsidP="00887A7D"/>
    <w:p w14:paraId="7359BE65" w14:textId="77777777" w:rsidR="00887A7D" w:rsidRPr="00887A7D" w:rsidRDefault="00887A7D" w:rsidP="00887A7D"/>
    <w:p w14:paraId="54EA18A2" w14:textId="77777777" w:rsidR="00887A7D" w:rsidRPr="00887A7D" w:rsidRDefault="00887A7D" w:rsidP="00887A7D"/>
    <w:p w14:paraId="33BFE714" w14:textId="77777777" w:rsidR="00887A7D" w:rsidRPr="00887A7D" w:rsidRDefault="00887A7D" w:rsidP="00887A7D"/>
    <w:p w14:paraId="6410B724" w14:textId="77777777" w:rsidR="00887A7D" w:rsidRPr="00887A7D" w:rsidRDefault="00887A7D" w:rsidP="00887A7D">
      <w:pPr>
        <w:rPr>
          <w:sz w:val="52"/>
          <w:szCs w:val="52"/>
        </w:rPr>
      </w:pPr>
    </w:p>
    <w:p w14:paraId="704EC7DA" w14:textId="77777777" w:rsidR="00887A7D" w:rsidRDefault="00887A7D" w:rsidP="00887A7D">
      <w:pPr>
        <w:tabs>
          <w:tab w:val="left" w:pos="3080"/>
        </w:tabs>
        <w:jc w:val="center"/>
        <w:rPr>
          <w:color w:val="008000"/>
          <w:sz w:val="52"/>
          <w:szCs w:val="52"/>
        </w:rPr>
      </w:pPr>
    </w:p>
    <w:p w14:paraId="1955E5FE" w14:textId="77777777" w:rsidR="00887A7D" w:rsidRDefault="00887A7D" w:rsidP="00887A7D">
      <w:pPr>
        <w:tabs>
          <w:tab w:val="left" w:pos="3080"/>
        </w:tabs>
        <w:jc w:val="center"/>
        <w:rPr>
          <w:color w:val="008000"/>
          <w:sz w:val="52"/>
          <w:szCs w:val="52"/>
        </w:rPr>
      </w:pPr>
      <w:r w:rsidRPr="00887A7D">
        <w:rPr>
          <w:color w:val="008000"/>
          <w:sz w:val="52"/>
          <w:szCs w:val="52"/>
        </w:rPr>
        <w:t>Programme I</w:t>
      </w:r>
      <w:r>
        <w:rPr>
          <w:color w:val="008000"/>
          <w:sz w:val="52"/>
          <w:szCs w:val="52"/>
        </w:rPr>
        <w:t>NTERREG NEXT Italie Tunisie 2021-207</w:t>
      </w:r>
    </w:p>
    <w:p w14:paraId="0F64F50D" w14:textId="77777777" w:rsidR="00887A7D" w:rsidRDefault="00887A7D" w:rsidP="00887A7D">
      <w:pPr>
        <w:tabs>
          <w:tab w:val="left" w:pos="3080"/>
        </w:tabs>
        <w:jc w:val="center"/>
        <w:rPr>
          <w:color w:val="008000"/>
          <w:sz w:val="52"/>
          <w:szCs w:val="52"/>
        </w:rPr>
      </w:pPr>
    </w:p>
    <w:p w14:paraId="2F19BAE8" w14:textId="20EA103C" w:rsidR="00887A7D" w:rsidRDefault="00887A7D" w:rsidP="00887A7D">
      <w:pPr>
        <w:tabs>
          <w:tab w:val="left" w:pos="3080"/>
        </w:tabs>
        <w:jc w:val="center"/>
        <w:rPr>
          <w:color w:val="008000"/>
          <w:sz w:val="52"/>
          <w:szCs w:val="52"/>
        </w:rPr>
      </w:pPr>
      <w:r>
        <w:rPr>
          <w:color w:val="008000"/>
          <w:sz w:val="52"/>
          <w:szCs w:val="52"/>
        </w:rPr>
        <w:t>Plan financier indicatif et typologie</w:t>
      </w:r>
      <w:r w:rsidR="0057092B">
        <w:rPr>
          <w:color w:val="008000"/>
          <w:sz w:val="52"/>
          <w:szCs w:val="52"/>
        </w:rPr>
        <w:t>s</w:t>
      </w:r>
      <w:r>
        <w:rPr>
          <w:color w:val="008000"/>
          <w:sz w:val="52"/>
          <w:szCs w:val="52"/>
        </w:rPr>
        <w:t xml:space="preserve"> d’appels </w:t>
      </w:r>
      <w:r w:rsidR="00880622">
        <w:rPr>
          <w:color w:val="008000"/>
          <w:sz w:val="52"/>
          <w:szCs w:val="52"/>
        </w:rPr>
        <w:t xml:space="preserve">à </w:t>
      </w:r>
      <w:r w:rsidR="004B0742">
        <w:rPr>
          <w:color w:val="008000"/>
          <w:sz w:val="52"/>
          <w:szCs w:val="52"/>
        </w:rPr>
        <w:t>projets</w:t>
      </w:r>
      <w:r>
        <w:rPr>
          <w:color w:val="008000"/>
          <w:sz w:val="52"/>
          <w:szCs w:val="52"/>
        </w:rPr>
        <w:t xml:space="preserve"> pour le programme</w:t>
      </w:r>
    </w:p>
    <w:p w14:paraId="09241F31" w14:textId="77777777" w:rsidR="00887A7D" w:rsidRDefault="00887A7D" w:rsidP="00887A7D">
      <w:pPr>
        <w:tabs>
          <w:tab w:val="left" w:pos="3080"/>
        </w:tabs>
        <w:jc w:val="center"/>
        <w:rPr>
          <w:color w:val="008000"/>
          <w:sz w:val="52"/>
          <w:szCs w:val="52"/>
        </w:rPr>
      </w:pPr>
    </w:p>
    <w:p w14:paraId="49CD4429" w14:textId="77777777" w:rsidR="00887A7D" w:rsidRDefault="00887A7D" w:rsidP="00887A7D">
      <w:pPr>
        <w:tabs>
          <w:tab w:val="left" w:pos="3080"/>
        </w:tabs>
        <w:jc w:val="center"/>
        <w:rPr>
          <w:color w:val="008000"/>
          <w:sz w:val="52"/>
          <w:szCs w:val="52"/>
        </w:rPr>
      </w:pPr>
    </w:p>
    <w:p w14:paraId="62BCBCEC" w14:textId="77777777" w:rsidR="00887A7D" w:rsidRDefault="00887A7D" w:rsidP="00887A7D">
      <w:pPr>
        <w:tabs>
          <w:tab w:val="left" w:pos="3080"/>
        </w:tabs>
        <w:jc w:val="center"/>
        <w:rPr>
          <w:color w:val="008000"/>
          <w:sz w:val="52"/>
          <w:szCs w:val="52"/>
        </w:rPr>
      </w:pPr>
    </w:p>
    <w:p w14:paraId="7DA89661" w14:textId="77777777" w:rsidR="00887A7D" w:rsidRPr="00887A7D" w:rsidRDefault="00887A7D" w:rsidP="00887A7D">
      <w:pPr>
        <w:tabs>
          <w:tab w:val="left" w:pos="3080"/>
        </w:tabs>
        <w:jc w:val="center"/>
        <w:rPr>
          <w:color w:val="008000"/>
          <w:sz w:val="52"/>
          <w:szCs w:val="52"/>
        </w:rPr>
      </w:pPr>
    </w:p>
    <w:p w14:paraId="479DEF9D" w14:textId="1F7DE567" w:rsidR="00887A7D" w:rsidRDefault="0005175F" w:rsidP="00887A7D">
      <w:pPr>
        <w:jc w:val="center"/>
        <w:rPr>
          <w:color w:val="008000"/>
          <w:sz w:val="44"/>
          <w:szCs w:val="44"/>
        </w:rPr>
      </w:pPr>
      <w:r>
        <w:rPr>
          <w:color w:val="008000"/>
          <w:sz w:val="44"/>
          <w:szCs w:val="44"/>
        </w:rPr>
        <w:t>Mars</w:t>
      </w:r>
      <w:r w:rsidR="00887A7D" w:rsidRPr="00887A7D">
        <w:rPr>
          <w:color w:val="008000"/>
          <w:sz w:val="44"/>
          <w:szCs w:val="44"/>
        </w:rPr>
        <w:t xml:space="preserve"> 202</w:t>
      </w:r>
      <w:r w:rsidR="0057092B">
        <w:rPr>
          <w:color w:val="008000"/>
          <w:sz w:val="44"/>
          <w:szCs w:val="44"/>
        </w:rPr>
        <w:t>2</w:t>
      </w:r>
    </w:p>
    <w:p w14:paraId="10FE34ED" w14:textId="77777777" w:rsidR="002755D5" w:rsidRDefault="002755D5" w:rsidP="00887A7D">
      <w:pPr>
        <w:jc w:val="center"/>
        <w:rPr>
          <w:color w:val="008000"/>
          <w:sz w:val="44"/>
          <w:szCs w:val="44"/>
        </w:rPr>
      </w:pPr>
    </w:p>
    <w:p w14:paraId="0341283E" w14:textId="2B2B71B0" w:rsidR="00350AB0" w:rsidRDefault="00350AB0">
      <w:pPr>
        <w:rPr>
          <w:color w:val="008000"/>
          <w:sz w:val="44"/>
          <w:szCs w:val="44"/>
        </w:rPr>
      </w:pPr>
      <w:r>
        <w:rPr>
          <w:color w:val="008000"/>
          <w:sz w:val="44"/>
          <w:szCs w:val="44"/>
        </w:rPr>
        <w:br w:type="page"/>
      </w:r>
    </w:p>
    <w:p w14:paraId="3CB52882" w14:textId="77777777" w:rsidR="002755D5" w:rsidRDefault="002755D5" w:rsidP="00887A7D">
      <w:pPr>
        <w:jc w:val="center"/>
        <w:rPr>
          <w:color w:val="008000"/>
          <w:sz w:val="44"/>
          <w:szCs w:val="44"/>
        </w:rPr>
      </w:pPr>
    </w:p>
    <w:p w14:paraId="3E342176" w14:textId="77777777" w:rsidR="00D87CEE" w:rsidRDefault="00D87CEE" w:rsidP="00887A7D">
      <w:pPr>
        <w:jc w:val="center"/>
        <w:rPr>
          <w:color w:val="008000"/>
          <w:sz w:val="44"/>
          <w:szCs w:val="44"/>
        </w:rPr>
      </w:pPr>
    </w:p>
    <w:p w14:paraId="7FC3EE4A" w14:textId="77777777" w:rsidR="00350AB0" w:rsidRDefault="00350AB0" w:rsidP="00350AB0">
      <w:pPr>
        <w:pStyle w:val="Titolo10"/>
        <w:jc w:val="center"/>
        <w:rPr>
          <w:color w:val="008000"/>
        </w:rPr>
      </w:pPr>
      <w:r w:rsidRPr="00350AB0">
        <w:rPr>
          <w:color w:val="008000"/>
        </w:rPr>
        <w:t>INDEX</w:t>
      </w:r>
    </w:p>
    <w:p w14:paraId="14455BF4" w14:textId="77777777" w:rsidR="00BF0DFB" w:rsidRDefault="00BF0DFB" w:rsidP="00350AB0">
      <w:pPr>
        <w:pStyle w:val="Titolo10"/>
        <w:jc w:val="center"/>
        <w:rPr>
          <w:color w:val="008000"/>
        </w:rPr>
      </w:pPr>
    </w:p>
    <w:p w14:paraId="43E56A7E" w14:textId="77777777" w:rsidR="00BF0DFB" w:rsidRDefault="00BF0DFB" w:rsidP="00350AB0">
      <w:pPr>
        <w:pStyle w:val="Titolo10"/>
        <w:jc w:val="center"/>
        <w:rPr>
          <w:color w:val="008000"/>
        </w:rPr>
      </w:pPr>
    </w:p>
    <w:p w14:paraId="0092D4EC" w14:textId="77777777" w:rsidR="00B46730" w:rsidRDefault="00B46730">
      <w:pPr>
        <w:pStyle w:val="Sommario1"/>
        <w:tabs>
          <w:tab w:val="right" w:leader="dot" w:pos="9622"/>
        </w:tabs>
        <w:rPr>
          <w:noProof/>
        </w:rPr>
      </w:pPr>
      <w:r>
        <w:rPr>
          <w:rFonts w:asciiTheme="minorHAnsi" w:hAnsiTheme="minorHAnsi"/>
          <w:b/>
          <w:bCs/>
          <w:sz w:val="44"/>
          <w:szCs w:val="44"/>
        </w:rPr>
        <w:fldChar w:fldCharType="begin"/>
      </w:r>
      <w:r>
        <w:rPr>
          <w:rFonts w:asciiTheme="minorHAnsi" w:hAnsiTheme="minorHAnsi"/>
          <w:b/>
          <w:bCs/>
          <w:sz w:val="44"/>
          <w:szCs w:val="44"/>
        </w:rPr>
        <w:instrText xml:space="preserve"> TOC \o "1-3" </w:instrText>
      </w:r>
      <w:r>
        <w:rPr>
          <w:rFonts w:asciiTheme="minorHAnsi" w:hAnsiTheme="minorHAnsi"/>
          <w:b/>
          <w:bCs/>
          <w:sz w:val="44"/>
          <w:szCs w:val="44"/>
        </w:rPr>
        <w:fldChar w:fldCharType="separate"/>
      </w:r>
      <w:r>
        <w:rPr>
          <w:noProof/>
        </w:rPr>
        <w:t>AVANT-PROPOS</w:t>
      </w:r>
      <w:r>
        <w:rPr>
          <w:noProof/>
        </w:rPr>
        <w:tab/>
      </w:r>
      <w:r>
        <w:rPr>
          <w:noProof/>
        </w:rPr>
        <w:fldChar w:fldCharType="begin"/>
      </w:r>
      <w:r>
        <w:rPr>
          <w:noProof/>
        </w:rPr>
        <w:instrText xml:space="preserve"> PAGEREF _Toc507758744 \h </w:instrText>
      </w:r>
      <w:r>
        <w:rPr>
          <w:noProof/>
        </w:rPr>
      </w:r>
      <w:r>
        <w:rPr>
          <w:noProof/>
        </w:rPr>
        <w:fldChar w:fldCharType="separate"/>
      </w:r>
      <w:r>
        <w:rPr>
          <w:noProof/>
        </w:rPr>
        <w:t>3</w:t>
      </w:r>
      <w:r>
        <w:rPr>
          <w:noProof/>
        </w:rPr>
        <w:fldChar w:fldCharType="end"/>
      </w:r>
    </w:p>
    <w:p w14:paraId="35084657" w14:textId="77777777" w:rsidR="00B46730" w:rsidRPr="00B46730" w:rsidRDefault="00B46730" w:rsidP="00B46730"/>
    <w:p w14:paraId="1BFF14C3" w14:textId="77777777" w:rsidR="00B46730" w:rsidRDefault="00B46730">
      <w:pPr>
        <w:pStyle w:val="Sommario1"/>
        <w:tabs>
          <w:tab w:val="left" w:pos="407"/>
          <w:tab w:val="right" w:leader="dot" w:pos="9622"/>
        </w:tabs>
        <w:rPr>
          <w:noProof/>
        </w:rPr>
      </w:pPr>
      <w:r>
        <w:rPr>
          <w:noProof/>
        </w:rPr>
        <w:t>1.</w:t>
      </w:r>
      <w:r>
        <w:rPr>
          <w:rFonts w:asciiTheme="minorHAnsi" w:hAnsiTheme="minorHAnsi"/>
          <w:noProof/>
          <w:sz w:val="24"/>
          <w:lang w:val="it-IT" w:eastAsia="ja-JP"/>
        </w:rPr>
        <w:tab/>
      </w:r>
      <w:r>
        <w:rPr>
          <w:noProof/>
        </w:rPr>
        <w:t>PLAN FINANCIER INDICATIF</w:t>
      </w:r>
      <w:r>
        <w:rPr>
          <w:noProof/>
        </w:rPr>
        <w:tab/>
      </w:r>
      <w:r>
        <w:rPr>
          <w:noProof/>
        </w:rPr>
        <w:fldChar w:fldCharType="begin"/>
      </w:r>
      <w:r>
        <w:rPr>
          <w:noProof/>
        </w:rPr>
        <w:instrText xml:space="preserve"> PAGEREF _Toc507758745 \h </w:instrText>
      </w:r>
      <w:r>
        <w:rPr>
          <w:noProof/>
        </w:rPr>
      </w:r>
      <w:r>
        <w:rPr>
          <w:noProof/>
        </w:rPr>
        <w:fldChar w:fldCharType="separate"/>
      </w:r>
      <w:r>
        <w:rPr>
          <w:noProof/>
        </w:rPr>
        <w:t>4</w:t>
      </w:r>
      <w:r>
        <w:rPr>
          <w:noProof/>
        </w:rPr>
        <w:fldChar w:fldCharType="end"/>
      </w:r>
    </w:p>
    <w:p w14:paraId="30E8F40E" w14:textId="77777777" w:rsidR="00B46730" w:rsidRPr="00B46730" w:rsidRDefault="00B46730" w:rsidP="00B46730"/>
    <w:p w14:paraId="23CC4B11" w14:textId="77777777" w:rsidR="00B46730" w:rsidRDefault="00B46730">
      <w:pPr>
        <w:pStyle w:val="Sommario1"/>
        <w:tabs>
          <w:tab w:val="left" w:pos="352"/>
          <w:tab w:val="right" w:leader="dot" w:pos="9622"/>
        </w:tabs>
        <w:rPr>
          <w:rFonts w:asciiTheme="minorHAnsi" w:hAnsiTheme="minorHAnsi"/>
          <w:noProof/>
          <w:sz w:val="24"/>
          <w:lang w:val="it-IT" w:eastAsia="ja-JP"/>
        </w:rPr>
      </w:pPr>
      <w:r>
        <w:rPr>
          <w:noProof/>
        </w:rPr>
        <w:t>2</w:t>
      </w:r>
      <w:r>
        <w:rPr>
          <w:rFonts w:asciiTheme="minorHAnsi" w:hAnsiTheme="minorHAnsi"/>
          <w:noProof/>
          <w:sz w:val="24"/>
          <w:lang w:val="it-IT" w:eastAsia="ja-JP"/>
        </w:rPr>
        <w:tab/>
      </w:r>
      <w:r>
        <w:rPr>
          <w:noProof/>
        </w:rPr>
        <w:t>LES TYPOLOGIES D’APPELS À PROJETS</w:t>
      </w:r>
      <w:r>
        <w:rPr>
          <w:noProof/>
        </w:rPr>
        <w:tab/>
      </w:r>
      <w:r>
        <w:rPr>
          <w:noProof/>
        </w:rPr>
        <w:fldChar w:fldCharType="begin"/>
      </w:r>
      <w:r>
        <w:rPr>
          <w:noProof/>
        </w:rPr>
        <w:instrText xml:space="preserve"> PAGEREF _Toc507758746 \h </w:instrText>
      </w:r>
      <w:r>
        <w:rPr>
          <w:noProof/>
        </w:rPr>
      </w:r>
      <w:r>
        <w:rPr>
          <w:noProof/>
        </w:rPr>
        <w:fldChar w:fldCharType="separate"/>
      </w:r>
      <w:r>
        <w:rPr>
          <w:noProof/>
        </w:rPr>
        <w:t>7</w:t>
      </w:r>
      <w:r>
        <w:rPr>
          <w:noProof/>
        </w:rPr>
        <w:fldChar w:fldCharType="end"/>
      </w:r>
    </w:p>
    <w:p w14:paraId="6F68A26D" w14:textId="77777777" w:rsidR="00B46730" w:rsidRDefault="00B46730">
      <w:pPr>
        <w:pStyle w:val="Sommario2"/>
        <w:tabs>
          <w:tab w:val="left" w:pos="739"/>
          <w:tab w:val="right" w:leader="dot" w:pos="9622"/>
        </w:tabs>
        <w:rPr>
          <w:rFonts w:asciiTheme="minorHAnsi" w:hAnsiTheme="minorHAnsi"/>
          <w:noProof/>
          <w:sz w:val="24"/>
          <w:lang w:val="it-IT" w:eastAsia="ja-JP"/>
        </w:rPr>
      </w:pPr>
      <w:r>
        <w:rPr>
          <w:noProof/>
        </w:rPr>
        <w:t>2.1</w:t>
      </w:r>
      <w:r>
        <w:rPr>
          <w:rFonts w:asciiTheme="minorHAnsi" w:hAnsiTheme="minorHAnsi"/>
          <w:noProof/>
          <w:sz w:val="24"/>
          <w:lang w:val="it-IT" w:eastAsia="ja-JP"/>
        </w:rPr>
        <w:tab/>
      </w:r>
      <w:r>
        <w:rPr>
          <w:noProof/>
        </w:rPr>
        <w:t>Le programme IEPV Italie Tunisie 2007-2013</w:t>
      </w:r>
      <w:r>
        <w:rPr>
          <w:noProof/>
        </w:rPr>
        <w:tab/>
      </w:r>
      <w:r>
        <w:rPr>
          <w:noProof/>
        </w:rPr>
        <w:fldChar w:fldCharType="begin"/>
      </w:r>
      <w:r>
        <w:rPr>
          <w:noProof/>
        </w:rPr>
        <w:instrText xml:space="preserve"> PAGEREF _Toc507758747 \h </w:instrText>
      </w:r>
      <w:r>
        <w:rPr>
          <w:noProof/>
        </w:rPr>
      </w:r>
      <w:r>
        <w:rPr>
          <w:noProof/>
        </w:rPr>
        <w:fldChar w:fldCharType="separate"/>
      </w:r>
      <w:r>
        <w:rPr>
          <w:noProof/>
        </w:rPr>
        <w:t>7</w:t>
      </w:r>
      <w:r>
        <w:rPr>
          <w:noProof/>
        </w:rPr>
        <w:fldChar w:fldCharType="end"/>
      </w:r>
    </w:p>
    <w:p w14:paraId="1C2C3097" w14:textId="77777777" w:rsidR="00B46730" w:rsidRDefault="00B46730">
      <w:pPr>
        <w:pStyle w:val="Sommario2"/>
        <w:tabs>
          <w:tab w:val="left" w:pos="739"/>
          <w:tab w:val="right" w:leader="dot" w:pos="9622"/>
        </w:tabs>
        <w:rPr>
          <w:rFonts w:asciiTheme="minorHAnsi" w:hAnsiTheme="minorHAnsi"/>
          <w:noProof/>
          <w:sz w:val="24"/>
          <w:lang w:val="it-IT" w:eastAsia="ja-JP"/>
        </w:rPr>
      </w:pPr>
      <w:r>
        <w:rPr>
          <w:noProof/>
        </w:rPr>
        <w:t>2.2</w:t>
      </w:r>
      <w:r>
        <w:rPr>
          <w:rFonts w:asciiTheme="minorHAnsi" w:hAnsiTheme="minorHAnsi"/>
          <w:noProof/>
          <w:sz w:val="24"/>
          <w:lang w:val="it-IT" w:eastAsia="ja-JP"/>
        </w:rPr>
        <w:tab/>
      </w:r>
      <w:r>
        <w:rPr>
          <w:noProof/>
        </w:rPr>
        <w:t>Le programme IEV Italie Tunisie 2014-2020</w:t>
      </w:r>
      <w:r>
        <w:rPr>
          <w:noProof/>
        </w:rPr>
        <w:tab/>
      </w:r>
      <w:r>
        <w:rPr>
          <w:noProof/>
        </w:rPr>
        <w:fldChar w:fldCharType="begin"/>
      </w:r>
      <w:r>
        <w:rPr>
          <w:noProof/>
        </w:rPr>
        <w:instrText xml:space="preserve"> PAGEREF _Toc507758748 \h </w:instrText>
      </w:r>
      <w:r>
        <w:rPr>
          <w:noProof/>
        </w:rPr>
      </w:r>
      <w:r>
        <w:rPr>
          <w:noProof/>
        </w:rPr>
        <w:fldChar w:fldCharType="separate"/>
      </w:r>
      <w:r>
        <w:rPr>
          <w:noProof/>
        </w:rPr>
        <w:t>8</w:t>
      </w:r>
      <w:r>
        <w:rPr>
          <w:noProof/>
        </w:rPr>
        <w:fldChar w:fldCharType="end"/>
      </w:r>
    </w:p>
    <w:p w14:paraId="6650CBD2" w14:textId="77777777" w:rsidR="00B46730" w:rsidRDefault="00B46730">
      <w:pPr>
        <w:pStyle w:val="Sommario2"/>
        <w:tabs>
          <w:tab w:val="left" w:pos="739"/>
          <w:tab w:val="right" w:leader="dot" w:pos="9622"/>
        </w:tabs>
        <w:rPr>
          <w:noProof/>
        </w:rPr>
      </w:pPr>
      <w:r>
        <w:rPr>
          <w:noProof/>
        </w:rPr>
        <w:t>2.3</w:t>
      </w:r>
      <w:r>
        <w:rPr>
          <w:rFonts w:asciiTheme="minorHAnsi" w:hAnsiTheme="minorHAnsi"/>
          <w:noProof/>
          <w:sz w:val="24"/>
          <w:lang w:val="it-IT" w:eastAsia="ja-JP"/>
        </w:rPr>
        <w:tab/>
      </w:r>
      <w:r>
        <w:rPr>
          <w:noProof/>
        </w:rPr>
        <w:t>Les leçons apprises par le deux programmes passés</w:t>
      </w:r>
      <w:r>
        <w:rPr>
          <w:noProof/>
        </w:rPr>
        <w:tab/>
      </w:r>
      <w:r>
        <w:rPr>
          <w:noProof/>
        </w:rPr>
        <w:fldChar w:fldCharType="begin"/>
      </w:r>
      <w:r>
        <w:rPr>
          <w:noProof/>
        </w:rPr>
        <w:instrText xml:space="preserve"> PAGEREF _Toc507758749 \h </w:instrText>
      </w:r>
      <w:r>
        <w:rPr>
          <w:noProof/>
        </w:rPr>
      </w:r>
      <w:r>
        <w:rPr>
          <w:noProof/>
        </w:rPr>
        <w:fldChar w:fldCharType="separate"/>
      </w:r>
      <w:r>
        <w:rPr>
          <w:noProof/>
        </w:rPr>
        <w:t>9</w:t>
      </w:r>
      <w:r>
        <w:rPr>
          <w:noProof/>
        </w:rPr>
        <w:fldChar w:fldCharType="end"/>
      </w:r>
    </w:p>
    <w:p w14:paraId="73E77C2C" w14:textId="77777777" w:rsidR="00B46730" w:rsidRPr="00B46730" w:rsidRDefault="00B46730" w:rsidP="00B46730">
      <w:bookmarkStart w:id="0" w:name="_GoBack"/>
      <w:bookmarkEnd w:id="0"/>
    </w:p>
    <w:p w14:paraId="44A8359E" w14:textId="77777777" w:rsidR="00B46730" w:rsidRDefault="00B46730">
      <w:pPr>
        <w:pStyle w:val="Sommario1"/>
        <w:tabs>
          <w:tab w:val="left" w:pos="407"/>
          <w:tab w:val="right" w:leader="dot" w:pos="9622"/>
        </w:tabs>
        <w:rPr>
          <w:rFonts w:asciiTheme="minorHAnsi" w:hAnsiTheme="minorHAnsi"/>
          <w:noProof/>
          <w:sz w:val="24"/>
          <w:lang w:val="it-IT" w:eastAsia="ja-JP"/>
        </w:rPr>
      </w:pPr>
      <w:r>
        <w:rPr>
          <w:noProof/>
        </w:rPr>
        <w:t>3.</w:t>
      </w:r>
      <w:r>
        <w:rPr>
          <w:rFonts w:asciiTheme="minorHAnsi" w:hAnsiTheme="minorHAnsi"/>
          <w:noProof/>
          <w:sz w:val="24"/>
          <w:lang w:val="it-IT" w:eastAsia="ja-JP"/>
        </w:rPr>
        <w:tab/>
      </w:r>
      <w:r>
        <w:rPr>
          <w:noProof/>
        </w:rPr>
        <w:t>TYPOLOGIES D’APPELS À PROJETS DU PROGRAMME 2021-2027</w:t>
      </w:r>
      <w:r>
        <w:rPr>
          <w:noProof/>
        </w:rPr>
        <w:tab/>
      </w:r>
      <w:r>
        <w:rPr>
          <w:noProof/>
        </w:rPr>
        <w:fldChar w:fldCharType="begin"/>
      </w:r>
      <w:r>
        <w:rPr>
          <w:noProof/>
        </w:rPr>
        <w:instrText xml:space="preserve"> PAGEREF _Toc507758750 \h </w:instrText>
      </w:r>
      <w:r>
        <w:rPr>
          <w:noProof/>
        </w:rPr>
      </w:r>
      <w:r>
        <w:rPr>
          <w:noProof/>
        </w:rPr>
        <w:fldChar w:fldCharType="separate"/>
      </w:r>
      <w:r>
        <w:rPr>
          <w:noProof/>
        </w:rPr>
        <w:t>11</w:t>
      </w:r>
      <w:r>
        <w:rPr>
          <w:noProof/>
        </w:rPr>
        <w:fldChar w:fldCharType="end"/>
      </w:r>
    </w:p>
    <w:p w14:paraId="041DD1AF" w14:textId="77777777" w:rsidR="00B46730" w:rsidRDefault="00B46730">
      <w:pPr>
        <w:pStyle w:val="Sommario2"/>
        <w:tabs>
          <w:tab w:val="left" w:pos="739"/>
          <w:tab w:val="right" w:leader="dot" w:pos="9622"/>
        </w:tabs>
        <w:rPr>
          <w:rFonts w:asciiTheme="minorHAnsi" w:hAnsiTheme="minorHAnsi"/>
          <w:noProof/>
          <w:sz w:val="24"/>
          <w:lang w:val="it-IT" w:eastAsia="ja-JP"/>
        </w:rPr>
      </w:pPr>
      <w:r>
        <w:rPr>
          <w:noProof/>
        </w:rPr>
        <w:t>3.1</w:t>
      </w:r>
      <w:r>
        <w:rPr>
          <w:rFonts w:asciiTheme="minorHAnsi" w:hAnsiTheme="minorHAnsi"/>
          <w:noProof/>
          <w:sz w:val="24"/>
          <w:lang w:val="it-IT" w:eastAsia="ja-JP"/>
        </w:rPr>
        <w:tab/>
      </w:r>
      <w:r>
        <w:rPr>
          <w:noProof/>
        </w:rPr>
        <w:t>L’appel à petits projets</w:t>
      </w:r>
      <w:r>
        <w:rPr>
          <w:noProof/>
        </w:rPr>
        <w:tab/>
      </w:r>
      <w:r>
        <w:rPr>
          <w:noProof/>
        </w:rPr>
        <w:fldChar w:fldCharType="begin"/>
      </w:r>
      <w:r>
        <w:rPr>
          <w:noProof/>
        </w:rPr>
        <w:instrText xml:space="preserve"> PAGEREF _Toc507758751 \h </w:instrText>
      </w:r>
      <w:r>
        <w:rPr>
          <w:noProof/>
        </w:rPr>
      </w:r>
      <w:r>
        <w:rPr>
          <w:noProof/>
        </w:rPr>
        <w:fldChar w:fldCharType="separate"/>
      </w:r>
      <w:r>
        <w:rPr>
          <w:noProof/>
        </w:rPr>
        <w:t>11</w:t>
      </w:r>
      <w:r>
        <w:rPr>
          <w:noProof/>
        </w:rPr>
        <w:fldChar w:fldCharType="end"/>
      </w:r>
    </w:p>
    <w:p w14:paraId="0701CD8A" w14:textId="77777777" w:rsidR="00B46730" w:rsidRDefault="00B46730">
      <w:pPr>
        <w:pStyle w:val="Sommario2"/>
        <w:tabs>
          <w:tab w:val="left" w:pos="739"/>
          <w:tab w:val="right" w:leader="dot" w:pos="9622"/>
        </w:tabs>
        <w:rPr>
          <w:rFonts w:asciiTheme="minorHAnsi" w:hAnsiTheme="minorHAnsi"/>
          <w:noProof/>
          <w:sz w:val="24"/>
          <w:lang w:val="it-IT" w:eastAsia="ja-JP"/>
        </w:rPr>
      </w:pPr>
      <w:r>
        <w:rPr>
          <w:noProof/>
        </w:rPr>
        <w:t>3.2</w:t>
      </w:r>
      <w:r>
        <w:rPr>
          <w:rFonts w:asciiTheme="minorHAnsi" w:hAnsiTheme="minorHAnsi"/>
          <w:noProof/>
          <w:sz w:val="24"/>
          <w:lang w:val="it-IT" w:eastAsia="ja-JP"/>
        </w:rPr>
        <w:tab/>
      </w:r>
      <w:r>
        <w:rPr>
          <w:noProof/>
        </w:rPr>
        <w:t>L’appel à projets standards</w:t>
      </w:r>
      <w:r>
        <w:rPr>
          <w:noProof/>
        </w:rPr>
        <w:tab/>
      </w:r>
      <w:r>
        <w:rPr>
          <w:noProof/>
        </w:rPr>
        <w:fldChar w:fldCharType="begin"/>
      </w:r>
      <w:r>
        <w:rPr>
          <w:noProof/>
        </w:rPr>
        <w:instrText xml:space="preserve"> PAGEREF _Toc507758752 \h </w:instrText>
      </w:r>
      <w:r>
        <w:rPr>
          <w:noProof/>
        </w:rPr>
      </w:r>
      <w:r>
        <w:rPr>
          <w:noProof/>
        </w:rPr>
        <w:fldChar w:fldCharType="separate"/>
      </w:r>
      <w:r>
        <w:rPr>
          <w:noProof/>
        </w:rPr>
        <w:t>11</w:t>
      </w:r>
      <w:r>
        <w:rPr>
          <w:noProof/>
        </w:rPr>
        <w:fldChar w:fldCharType="end"/>
      </w:r>
    </w:p>
    <w:p w14:paraId="6B36EBFD" w14:textId="77777777" w:rsidR="00B46730" w:rsidRDefault="00B46730">
      <w:pPr>
        <w:pStyle w:val="Sommario2"/>
        <w:tabs>
          <w:tab w:val="left" w:pos="739"/>
          <w:tab w:val="right" w:leader="dot" w:pos="9622"/>
        </w:tabs>
        <w:rPr>
          <w:rFonts w:asciiTheme="minorHAnsi" w:hAnsiTheme="minorHAnsi"/>
          <w:noProof/>
          <w:sz w:val="24"/>
          <w:lang w:val="it-IT" w:eastAsia="ja-JP"/>
        </w:rPr>
      </w:pPr>
      <w:r>
        <w:rPr>
          <w:noProof/>
        </w:rPr>
        <w:t>3.3</w:t>
      </w:r>
      <w:r>
        <w:rPr>
          <w:rFonts w:asciiTheme="minorHAnsi" w:hAnsiTheme="minorHAnsi"/>
          <w:noProof/>
          <w:sz w:val="24"/>
          <w:lang w:val="it-IT" w:eastAsia="ja-JP"/>
        </w:rPr>
        <w:tab/>
      </w:r>
      <w:r>
        <w:rPr>
          <w:noProof/>
        </w:rPr>
        <w:t>L’appel à projets de capitalisation</w:t>
      </w:r>
      <w:r>
        <w:rPr>
          <w:noProof/>
        </w:rPr>
        <w:tab/>
      </w:r>
      <w:r>
        <w:rPr>
          <w:noProof/>
        </w:rPr>
        <w:fldChar w:fldCharType="begin"/>
      </w:r>
      <w:r>
        <w:rPr>
          <w:noProof/>
        </w:rPr>
        <w:instrText xml:space="preserve"> PAGEREF _Toc507758753 \h </w:instrText>
      </w:r>
      <w:r>
        <w:rPr>
          <w:noProof/>
        </w:rPr>
      </w:r>
      <w:r>
        <w:rPr>
          <w:noProof/>
        </w:rPr>
        <w:fldChar w:fldCharType="separate"/>
      </w:r>
      <w:r>
        <w:rPr>
          <w:noProof/>
        </w:rPr>
        <w:t>12</w:t>
      </w:r>
      <w:r>
        <w:rPr>
          <w:noProof/>
        </w:rPr>
        <w:fldChar w:fldCharType="end"/>
      </w:r>
    </w:p>
    <w:p w14:paraId="197DC3EF" w14:textId="12AC7CFA" w:rsidR="00F07A9B" w:rsidRDefault="00B46730" w:rsidP="0057092B">
      <w:pPr>
        <w:jc w:val="both"/>
        <w:rPr>
          <w:rFonts w:asciiTheme="minorHAnsi" w:hAnsiTheme="minorHAnsi"/>
          <w:b/>
          <w:bCs/>
          <w:sz w:val="44"/>
          <w:szCs w:val="44"/>
        </w:rPr>
      </w:pPr>
      <w:r>
        <w:rPr>
          <w:rFonts w:asciiTheme="minorHAnsi" w:hAnsiTheme="minorHAnsi"/>
          <w:b/>
          <w:bCs/>
          <w:sz w:val="44"/>
          <w:szCs w:val="44"/>
        </w:rPr>
        <w:fldChar w:fldCharType="end"/>
      </w:r>
    </w:p>
    <w:p w14:paraId="4AACDB5C" w14:textId="77777777" w:rsidR="00F07A9B" w:rsidRDefault="00F07A9B">
      <w:pPr>
        <w:rPr>
          <w:rFonts w:asciiTheme="minorHAnsi" w:hAnsiTheme="minorHAnsi"/>
          <w:b/>
          <w:bCs/>
          <w:sz w:val="44"/>
          <w:szCs w:val="44"/>
        </w:rPr>
      </w:pPr>
      <w:r>
        <w:rPr>
          <w:rFonts w:asciiTheme="minorHAnsi" w:hAnsiTheme="minorHAnsi"/>
          <w:b/>
          <w:bCs/>
          <w:sz w:val="44"/>
          <w:szCs w:val="44"/>
        </w:rPr>
        <w:br w:type="page"/>
      </w:r>
    </w:p>
    <w:p w14:paraId="094CDEA8" w14:textId="77777777" w:rsidR="00F07A9B" w:rsidRDefault="00F07A9B" w:rsidP="002755D5">
      <w:pPr>
        <w:pStyle w:val="Titolo1"/>
      </w:pPr>
      <w:bookmarkStart w:id="1" w:name="_Toc506480683"/>
      <w:bookmarkStart w:id="2" w:name="_Toc506481158"/>
      <w:bookmarkStart w:id="3" w:name="_Toc506481180"/>
      <w:bookmarkStart w:id="4" w:name="_Toc506481279"/>
    </w:p>
    <w:p w14:paraId="3377A1D1" w14:textId="77777777" w:rsidR="002755D5" w:rsidRDefault="00781F0D" w:rsidP="002755D5">
      <w:pPr>
        <w:pStyle w:val="Titolo1"/>
      </w:pPr>
      <w:bookmarkStart w:id="5" w:name="_Toc507758744"/>
      <w:r>
        <w:t>AVANT-PROPOS</w:t>
      </w:r>
      <w:bookmarkEnd w:id="1"/>
      <w:bookmarkEnd w:id="2"/>
      <w:bookmarkEnd w:id="3"/>
      <w:bookmarkEnd w:id="4"/>
      <w:bookmarkEnd w:id="5"/>
    </w:p>
    <w:p w14:paraId="62177C3C" w14:textId="77777777" w:rsidR="00781F0D" w:rsidRDefault="00781F0D" w:rsidP="00781F0D"/>
    <w:p w14:paraId="3A06019C" w14:textId="1C5D2EEA" w:rsidR="00781F0D" w:rsidRDefault="00781F0D" w:rsidP="00F91014">
      <w:pPr>
        <w:jc w:val="both"/>
      </w:pPr>
      <w:r>
        <w:t>Ce document présente une proposition indicative du plan financier du programme et des typologies d’</w:t>
      </w:r>
      <w:r w:rsidR="002D37D9">
        <w:t>appels</w:t>
      </w:r>
      <w:r>
        <w:t xml:space="preserve"> </w:t>
      </w:r>
      <w:r w:rsidR="00880622">
        <w:t>à proposition</w:t>
      </w:r>
      <w:r>
        <w:t xml:space="preserve"> du Programme INTERREG </w:t>
      </w:r>
      <w:r w:rsidR="00880622">
        <w:t>NEXT</w:t>
      </w:r>
      <w:r>
        <w:t xml:space="preserve"> Italie Tunisie 2021-2027</w:t>
      </w:r>
      <w:r w:rsidR="00E96487">
        <w:t xml:space="preserve"> à discuter pendant la </w:t>
      </w:r>
      <w:r w:rsidR="00E96487" w:rsidRPr="00E96487">
        <w:t>5</w:t>
      </w:r>
      <w:r w:rsidR="00E96487" w:rsidRPr="00E96487">
        <w:rPr>
          <w:vertAlign w:val="superscript"/>
        </w:rPr>
        <w:t>ème</w:t>
      </w:r>
      <w:r w:rsidR="003C5FB5">
        <w:t xml:space="preserve"> réunion du C</w:t>
      </w:r>
      <w:r w:rsidR="0057092B">
        <w:t>omité de Programmation Conjoint</w:t>
      </w:r>
      <w:r w:rsidR="003C5FB5">
        <w:t xml:space="preserve"> </w:t>
      </w:r>
      <w:r w:rsidR="00E96487">
        <w:t>du programme.</w:t>
      </w:r>
    </w:p>
    <w:p w14:paraId="13788229" w14:textId="58B23D4D" w:rsidR="00E96487" w:rsidRDefault="00E96487" w:rsidP="00F91014">
      <w:pPr>
        <w:jc w:val="both"/>
      </w:pPr>
      <w:r w:rsidRPr="00E96487">
        <w:t xml:space="preserve">L'objectif est de </w:t>
      </w:r>
      <w:r w:rsidR="000469A0">
        <w:t>vérifier</w:t>
      </w:r>
      <w:r w:rsidR="003C5FB5">
        <w:t xml:space="preserve"> </w:t>
      </w:r>
      <w:r w:rsidRPr="00E96487">
        <w:t>comment optimiser les ressources</w:t>
      </w:r>
      <w:r>
        <w:t xml:space="preserve"> </w:t>
      </w:r>
      <w:r w:rsidRPr="00E96487">
        <w:t>financières  disponibles afin de rendre les actions du programme plus efficaces par rapport aux objectifs fixés</w:t>
      </w:r>
      <w:r w:rsidR="000469A0">
        <w:t xml:space="preserve"> et </w:t>
      </w:r>
      <w:r w:rsidR="002D37D9">
        <w:t xml:space="preserve">en </w:t>
      </w:r>
      <w:r w:rsidR="000469A0">
        <w:t xml:space="preserve">même temps vérifier les modalités </w:t>
      </w:r>
      <w:r w:rsidR="002D37D9">
        <w:t xml:space="preserve">les </w:t>
      </w:r>
      <w:r w:rsidR="000469A0">
        <w:t>plus efficace</w:t>
      </w:r>
      <w:r w:rsidR="002D37D9">
        <w:t>s</w:t>
      </w:r>
      <w:r w:rsidR="000469A0">
        <w:t xml:space="preserve"> </w:t>
      </w:r>
      <w:r w:rsidR="002D37D9">
        <w:t xml:space="preserve">pour la </w:t>
      </w:r>
      <w:r w:rsidR="000469A0">
        <w:t>mise en place des opérations du Programme.</w:t>
      </w:r>
    </w:p>
    <w:p w14:paraId="1126131F" w14:textId="42A6ABA4" w:rsidR="00E96487" w:rsidRDefault="000469A0" w:rsidP="00F91014">
      <w:pPr>
        <w:jc w:val="both"/>
      </w:pPr>
      <w:r w:rsidRPr="000469A0">
        <w:t xml:space="preserve">À cette fin, les chapitres suivants proposent un plan financier indicatif pour le programme, </w:t>
      </w:r>
      <w:r w:rsidR="002D37D9">
        <w:t>accompagné</w:t>
      </w:r>
      <w:r w:rsidR="002D37D9" w:rsidRPr="000469A0">
        <w:t xml:space="preserve"> </w:t>
      </w:r>
      <w:r w:rsidRPr="000469A0">
        <w:t xml:space="preserve">par </w:t>
      </w:r>
      <w:r w:rsidR="002D37D9">
        <w:t xml:space="preserve">les </w:t>
      </w:r>
      <w:r w:rsidRPr="000469A0">
        <w:t xml:space="preserve">objectifs stratégiques et spécifiques, ainsi qu'une </w:t>
      </w:r>
      <w:r w:rsidR="002D37D9">
        <w:t>proposition</w:t>
      </w:r>
      <w:r w:rsidR="002D37D9" w:rsidRPr="000469A0">
        <w:t xml:space="preserve"> </w:t>
      </w:r>
      <w:r w:rsidR="002D37D9">
        <w:t>de</w:t>
      </w:r>
      <w:r w:rsidRPr="000469A0">
        <w:t xml:space="preserve"> typologie</w:t>
      </w:r>
      <w:r w:rsidR="00B36B95">
        <w:t>s</w:t>
      </w:r>
      <w:r w:rsidRPr="000469A0">
        <w:t xml:space="preserve"> d'appels </w:t>
      </w:r>
      <w:r w:rsidR="004B0742">
        <w:t>projets</w:t>
      </w:r>
      <w:r w:rsidRPr="000469A0">
        <w:t xml:space="preserve">, sur la base de l'expérience acquise dans les programmes précédents.  </w:t>
      </w:r>
    </w:p>
    <w:p w14:paraId="7CB856E3" w14:textId="77777777" w:rsidR="00E96487" w:rsidRDefault="00E96487" w:rsidP="00781F0D"/>
    <w:p w14:paraId="46EA3F5F" w14:textId="77777777" w:rsidR="00E96487" w:rsidRDefault="00E96487" w:rsidP="00781F0D"/>
    <w:p w14:paraId="238DF18F" w14:textId="77777777" w:rsidR="00E96487" w:rsidRPr="00781F0D" w:rsidRDefault="00E96487" w:rsidP="00781F0D"/>
    <w:p w14:paraId="1778D0D2" w14:textId="77777777" w:rsidR="00781F0D" w:rsidRDefault="00781F0D">
      <w:r>
        <w:br w:type="page"/>
      </w:r>
    </w:p>
    <w:p w14:paraId="10EFC1EA" w14:textId="77777777" w:rsidR="00781F0D" w:rsidRPr="00781F0D" w:rsidRDefault="00781F0D" w:rsidP="00781F0D"/>
    <w:p w14:paraId="58EED545" w14:textId="36E49FF9" w:rsidR="002755D5" w:rsidRDefault="00781F0D" w:rsidP="001461FF">
      <w:pPr>
        <w:pStyle w:val="Titolo1"/>
        <w:numPr>
          <w:ilvl w:val="0"/>
          <w:numId w:val="3"/>
        </w:numPr>
      </w:pPr>
      <w:bookmarkStart w:id="6" w:name="_Toc506480684"/>
      <w:bookmarkStart w:id="7" w:name="_Toc506481159"/>
      <w:bookmarkStart w:id="8" w:name="_Toc506481181"/>
      <w:bookmarkStart w:id="9" w:name="_Toc506481280"/>
      <w:bookmarkStart w:id="10" w:name="_Toc507758745"/>
      <w:r>
        <w:t>PLAN FINANCIER INDICATIF</w:t>
      </w:r>
      <w:bookmarkEnd w:id="6"/>
      <w:bookmarkEnd w:id="7"/>
      <w:bookmarkEnd w:id="8"/>
      <w:bookmarkEnd w:id="9"/>
      <w:bookmarkEnd w:id="10"/>
    </w:p>
    <w:p w14:paraId="5D7898CC" w14:textId="77777777" w:rsidR="00781F0D" w:rsidRDefault="00781F0D" w:rsidP="00781F0D"/>
    <w:p w14:paraId="768AB70D" w14:textId="77777777" w:rsidR="00C814EB" w:rsidRDefault="00C814EB" w:rsidP="00781F0D"/>
    <w:p w14:paraId="429D71F9" w14:textId="416FE84C" w:rsidR="00C814EB" w:rsidRPr="00C814EB" w:rsidRDefault="008E773F" w:rsidP="00C814EB">
      <w:pPr>
        <w:jc w:val="both"/>
      </w:pPr>
      <w:r w:rsidRPr="00C814EB">
        <w:t>Le plan financier indicatif a été construit en tenant compte</w:t>
      </w:r>
      <w:r w:rsidR="00C814EB" w:rsidRPr="00C814EB">
        <w:t xml:space="preserve"> d’un</w:t>
      </w:r>
      <w:r w:rsidRPr="00C814EB">
        <w:t xml:space="preserve"> </w:t>
      </w:r>
      <w:r w:rsidR="00C814EB" w:rsidRPr="00C814EB">
        <w:t>certain nombre de conditions qui ont déterminé son évolution.</w:t>
      </w:r>
    </w:p>
    <w:p w14:paraId="1F618218" w14:textId="6BB400FB" w:rsidR="000C0CCB" w:rsidRPr="00A25B75" w:rsidRDefault="00C814EB" w:rsidP="000C0CCB">
      <w:pPr>
        <w:jc w:val="both"/>
        <w:rPr>
          <w:rFonts w:eastAsia="Times New Roman" w:cs="Times New Roman"/>
          <w:szCs w:val="22"/>
        </w:rPr>
      </w:pPr>
      <w:r w:rsidRPr="00C814EB">
        <w:t>La première se réfère au ca</w:t>
      </w:r>
      <w:r w:rsidR="00F91014">
        <w:t xml:space="preserve">dre financier établi par </w:t>
      </w:r>
      <w:r w:rsidRPr="005F4A3D">
        <w:t>l</w:t>
      </w:r>
      <w:r w:rsidR="008E773F" w:rsidRPr="005F4A3D">
        <w:t xml:space="preserve">a </w:t>
      </w:r>
      <w:r w:rsidRPr="005F4A3D">
        <w:t>2</w:t>
      </w:r>
      <w:r w:rsidR="008E773F" w:rsidRPr="005F4A3D">
        <w:t>décision d’exécution (UE) 2022/74 de la Commission établissant la liste des programmes Interreg et indiquant le montant total du soutien</w:t>
      </w:r>
      <w:r w:rsidR="008E773F" w:rsidRPr="000C0CCB">
        <w:rPr>
          <w:rFonts w:eastAsia="Times New Roman" w:cs="Times New Roman"/>
          <w:szCs w:val="22"/>
        </w:rPr>
        <w:t xml:space="preserve"> apporté par le Fonds </w:t>
      </w:r>
      <w:r w:rsidR="00F91014">
        <w:rPr>
          <w:rFonts w:eastAsia="Times New Roman" w:cs="Times New Roman"/>
          <w:szCs w:val="22"/>
        </w:rPr>
        <w:t>E</w:t>
      </w:r>
      <w:r w:rsidR="008E773F" w:rsidRPr="000C0CCB">
        <w:rPr>
          <w:rFonts w:eastAsia="Times New Roman" w:cs="Times New Roman"/>
          <w:szCs w:val="22"/>
        </w:rPr>
        <w:t xml:space="preserve">uropéen de </w:t>
      </w:r>
      <w:r w:rsidR="00F91014">
        <w:rPr>
          <w:rFonts w:eastAsia="Times New Roman" w:cs="Times New Roman"/>
          <w:szCs w:val="22"/>
        </w:rPr>
        <w:t>D</w:t>
      </w:r>
      <w:r w:rsidR="008E773F" w:rsidRPr="000C0CCB">
        <w:rPr>
          <w:rFonts w:eastAsia="Times New Roman" w:cs="Times New Roman"/>
          <w:szCs w:val="22"/>
        </w:rPr>
        <w:t xml:space="preserve">éveloppement </w:t>
      </w:r>
      <w:r w:rsidR="00F91014">
        <w:rPr>
          <w:rFonts w:eastAsia="Times New Roman" w:cs="Times New Roman"/>
          <w:szCs w:val="22"/>
        </w:rPr>
        <w:t>R</w:t>
      </w:r>
      <w:r w:rsidR="008E773F" w:rsidRPr="000C0CCB">
        <w:rPr>
          <w:rFonts w:eastAsia="Times New Roman" w:cs="Times New Roman"/>
          <w:szCs w:val="22"/>
        </w:rPr>
        <w:t xml:space="preserve">égional </w:t>
      </w:r>
      <w:r w:rsidR="00F91014">
        <w:rPr>
          <w:rFonts w:eastAsia="Times New Roman" w:cs="Times New Roman"/>
          <w:szCs w:val="22"/>
        </w:rPr>
        <w:t xml:space="preserve">(FEDER) </w:t>
      </w:r>
      <w:r w:rsidR="008E773F" w:rsidRPr="000C0CCB">
        <w:rPr>
          <w:rFonts w:eastAsia="Times New Roman" w:cs="Times New Roman"/>
          <w:szCs w:val="22"/>
        </w:rPr>
        <w:t>et par chaque instrument de financement extérieur de l’Union pour chaque programme, pour la période 2021-2027</w:t>
      </w:r>
      <w:r w:rsidRPr="000C0CCB">
        <w:rPr>
          <w:rFonts w:eastAsia="Times New Roman" w:cs="Times New Roman"/>
          <w:szCs w:val="22"/>
        </w:rPr>
        <w:t xml:space="preserve">  </w:t>
      </w:r>
      <w:r w:rsidR="00F91014">
        <w:rPr>
          <w:rFonts w:eastAsia="Times New Roman" w:cs="Times New Roman"/>
          <w:szCs w:val="22"/>
        </w:rPr>
        <w:t xml:space="preserve"> et </w:t>
      </w:r>
      <w:r w:rsidRPr="000C0CCB">
        <w:rPr>
          <w:rFonts w:eastAsia="Times New Roman" w:cs="Times New Roman"/>
          <w:szCs w:val="22"/>
        </w:rPr>
        <w:t>qu</w:t>
      </w:r>
      <w:r w:rsidR="002D37D9">
        <w:rPr>
          <w:rFonts w:eastAsia="Times New Roman" w:cs="Times New Roman"/>
          <w:szCs w:val="22"/>
        </w:rPr>
        <w:t>i,</w:t>
      </w:r>
      <w:r w:rsidR="002159AB">
        <w:rPr>
          <w:rFonts w:eastAsia="Times New Roman" w:cs="Times New Roman"/>
          <w:szCs w:val="22"/>
        </w:rPr>
        <w:t xml:space="preserve"> pour l’</w:t>
      </w:r>
      <w:r w:rsidRPr="000C0CCB">
        <w:rPr>
          <w:rFonts w:eastAsia="Times New Roman" w:cs="Times New Roman"/>
          <w:szCs w:val="22"/>
        </w:rPr>
        <w:t xml:space="preserve">INTERREG VI-A </w:t>
      </w:r>
      <w:r w:rsidR="004F08A5" w:rsidRPr="000C0CCB">
        <w:rPr>
          <w:rFonts w:eastAsia="Times New Roman" w:cs="Times New Roman"/>
          <w:szCs w:val="22"/>
        </w:rPr>
        <w:t xml:space="preserve">NEXT </w:t>
      </w:r>
      <w:r w:rsidRPr="000C0CCB">
        <w:rPr>
          <w:rFonts w:eastAsia="Times New Roman" w:cs="Times New Roman"/>
          <w:szCs w:val="22"/>
        </w:rPr>
        <w:t xml:space="preserve">Italie </w:t>
      </w:r>
      <w:r w:rsidR="004F08A5" w:rsidRPr="000C0CCB">
        <w:rPr>
          <w:rFonts w:eastAsia="Times New Roman" w:cs="Times New Roman"/>
          <w:szCs w:val="22"/>
        </w:rPr>
        <w:t>Tunisie</w:t>
      </w:r>
      <w:r w:rsidR="002D37D9">
        <w:rPr>
          <w:rFonts w:eastAsia="Times New Roman" w:cs="Times New Roman"/>
          <w:szCs w:val="22"/>
        </w:rPr>
        <w:t>,</w:t>
      </w:r>
      <w:r w:rsidR="004F08A5" w:rsidRPr="000C0CCB">
        <w:rPr>
          <w:rFonts w:eastAsia="Times New Roman" w:cs="Times New Roman"/>
          <w:szCs w:val="22"/>
        </w:rPr>
        <w:t xml:space="preserve"> </w:t>
      </w:r>
      <w:r w:rsidR="000C0CCB" w:rsidRPr="000C0CCB">
        <w:rPr>
          <w:rFonts w:eastAsia="Times New Roman" w:cs="Times New Roman"/>
          <w:szCs w:val="22"/>
        </w:rPr>
        <w:t>établi</w:t>
      </w:r>
      <w:r w:rsidR="004F08A5" w:rsidRPr="000C0CCB">
        <w:rPr>
          <w:rFonts w:eastAsia="Times New Roman" w:cs="Times New Roman"/>
          <w:szCs w:val="22"/>
        </w:rPr>
        <w:t xml:space="preserve"> un</w:t>
      </w:r>
      <w:r w:rsidR="00AF22EF">
        <w:rPr>
          <w:rFonts w:eastAsia="Times New Roman" w:cs="Times New Roman"/>
          <w:szCs w:val="22"/>
        </w:rPr>
        <w:t>e</w:t>
      </w:r>
      <w:r w:rsidR="004F08A5" w:rsidRPr="000C0CCB">
        <w:rPr>
          <w:rFonts w:eastAsia="Times New Roman" w:cs="Times New Roman"/>
          <w:szCs w:val="22"/>
        </w:rPr>
        <w:t xml:space="preserve"> </w:t>
      </w:r>
      <w:r w:rsidR="001F30DB" w:rsidRPr="000C0CCB">
        <w:rPr>
          <w:rFonts w:eastAsia="Times New Roman" w:cs="Times New Roman"/>
          <w:szCs w:val="22"/>
        </w:rPr>
        <w:t>enveloppe</w:t>
      </w:r>
      <w:r w:rsidR="004F08A5" w:rsidRPr="000C0CCB">
        <w:rPr>
          <w:rFonts w:eastAsia="Times New Roman" w:cs="Times New Roman"/>
          <w:szCs w:val="22"/>
        </w:rPr>
        <w:t xml:space="preserve"> financi</w:t>
      </w:r>
      <w:r w:rsidR="00AF22EF">
        <w:rPr>
          <w:rFonts w:eastAsia="Times New Roman" w:cs="Times New Roman"/>
          <w:szCs w:val="22"/>
        </w:rPr>
        <w:t>ère</w:t>
      </w:r>
      <w:r w:rsidR="004F08A5" w:rsidRPr="000C0CCB">
        <w:rPr>
          <w:rFonts w:eastAsia="Times New Roman" w:cs="Times New Roman"/>
          <w:szCs w:val="22"/>
        </w:rPr>
        <w:t xml:space="preserve"> de  </w:t>
      </w:r>
      <w:r w:rsidR="00327B46" w:rsidRPr="000C0CCB">
        <w:rPr>
          <w:rFonts w:eastAsia="Times New Roman" w:cs="Times New Roman"/>
          <w:szCs w:val="22"/>
        </w:rPr>
        <w:t xml:space="preserve">€ </w:t>
      </w:r>
      <w:r w:rsidR="00327B46" w:rsidRPr="000C0CCB">
        <w:rPr>
          <w:rFonts w:eastAsia="Times New Roman" w:cs="Times New Roman"/>
          <w:b/>
          <w:szCs w:val="22"/>
        </w:rPr>
        <w:t>32.340.834</w:t>
      </w:r>
      <w:r w:rsidR="00327B46" w:rsidRPr="000C0CCB">
        <w:rPr>
          <w:rFonts w:eastAsia="Times New Roman" w:cs="Times New Roman"/>
          <w:szCs w:val="22"/>
        </w:rPr>
        <w:t xml:space="preserve"> </w:t>
      </w:r>
      <w:r w:rsidR="004F08A5" w:rsidRPr="000C0CCB">
        <w:rPr>
          <w:rFonts w:eastAsia="Times New Roman" w:cs="Times New Roman"/>
          <w:szCs w:val="22"/>
        </w:rPr>
        <w:t>avec une contribution du FEDER de € 16.010.314  et une contribution du  IVCDCI</w:t>
      </w:r>
      <w:r w:rsidR="009A1724" w:rsidRPr="000C0CCB">
        <w:rPr>
          <w:rStyle w:val="Rimandonotaapidipagina"/>
          <w:rFonts w:eastAsia="Times New Roman" w:cs="Times New Roman"/>
          <w:szCs w:val="22"/>
        </w:rPr>
        <w:footnoteReference w:id="1"/>
      </w:r>
      <w:r w:rsidR="004F08A5" w:rsidRPr="000C0CCB">
        <w:rPr>
          <w:rFonts w:eastAsia="Times New Roman" w:cs="Times New Roman"/>
          <w:szCs w:val="22"/>
        </w:rPr>
        <w:t xml:space="preserve"> de € 16.330.520</w:t>
      </w:r>
      <w:r w:rsidR="009A1724" w:rsidRPr="000C0CCB">
        <w:rPr>
          <w:rFonts w:eastAsia="Times New Roman" w:cs="Times New Roman"/>
          <w:szCs w:val="22"/>
        </w:rPr>
        <w:t xml:space="preserve">. </w:t>
      </w:r>
      <w:r w:rsidR="004F08A5" w:rsidRPr="000C0CCB">
        <w:rPr>
          <w:rFonts w:eastAsia="Times New Roman" w:cs="Times New Roman"/>
          <w:szCs w:val="22"/>
        </w:rPr>
        <w:t xml:space="preserve"> </w:t>
      </w:r>
      <w:r w:rsidR="000C0CCB" w:rsidRPr="000C0CCB">
        <w:rPr>
          <w:rFonts w:eastAsia="Times New Roman" w:cs="Times New Roman"/>
          <w:szCs w:val="22"/>
        </w:rPr>
        <w:t xml:space="preserve">L’art. 22 du </w:t>
      </w:r>
      <w:r w:rsidR="006C1C9B" w:rsidRPr="000C0CCB">
        <w:rPr>
          <w:rFonts w:eastAsia="Times New Roman" w:cs="Times New Roman"/>
          <w:szCs w:val="22"/>
        </w:rPr>
        <w:t>Règlement</w:t>
      </w:r>
      <w:r w:rsidR="000C0CCB" w:rsidRPr="000C0CCB">
        <w:rPr>
          <w:rFonts w:eastAsia="Times New Roman" w:cs="Times New Roman"/>
          <w:szCs w:val="22"/>
        </w:rPr>
        <w:t xml:space="preserve"> IVCDCI indique que « </w:t>
      </w:r>
      <w:r w:rsidR="000C0CCB" w:rsidRPr="00A25B75">
        <w:rPr>
          <w:rFonts w:eastAsia="Times New Roman" w:cs="Times New Roman"/>
          <w:szCs w:val="22"/>
        </w:rPr>
        <w:t>Le taux de cofinancement de l’Union ne peut être</w:t>
      </w:r>
      <w:r w:rsidR="0057092B">
        <w:rPr>
          <w:rFonts w:eastAsia="Times New Roman" w:cs="Times New Roman"/>
          <w:szCs w:val="22"/>
        </w:rPr>
        <w:t xml:space="preserve"> pas</w:t>
      </w:r>
      <w:r w:rsidR="000C0CCB" w:rsidRPr="00A25B75">
        <w:rPr>
          <w:rFonts w:eastAsia="Times New Roman" w:cs="Times New Roman"/>
          <w:szCs w:val="22"/>
        </w:rPr>
        <w:t xml:space="preserve"> supérieur </w:t>
      </w:r>
      <w:r w:rsidR="0057092B">
        <w:rPr>
          <w:rFonts w:eastAsia="Times New Roman" w:cs="Times New Roman"/>
          <w:szCs w:val="22"/>
        </w:rPr>
        <w:t>au</w:t>
      </w:r>
      <w:r w:rsidR="000C0CCB" w:rsidRPr="00A25B75">
        <w:rPr>
          <w:rFonts w:eastAsia="Times New Roman" w:cs="Times New Roman"/>
          <w:szCs w:val="22"/>
        </w:rPr>
        <w:t xml:space="preserve"> 90 % des dépenses éligibles d’un programme de coopération transfrontalière”. </w:t>
      </w:r>
    </w:p>
    <w:p w14:paraId="38E4BD08" w14:textId="6CE50769" w:rsidR="000C0CCB" w:rsidRPr="006C1C9B" w:rsidRDefault="000C0CCB" w:rsidP="000C0CCB">
      <w:pPr>
        <w:jc w:val="both"/>
        <w:rPr>
          <w:rFonts w:eastAsia="Times New Roman" w:cs="Times New Roman"/>
          <w:szCs w:val="22"/>
        </w:rPr>
      </w:pPr>
      <w:r w:rsidRPr="006C1C9B">
        <w:rPr>
          <w:rFonts w:eastAsia="Times New Roman" w:cs="Times New Roman"/>
          <w:szCs w:val="22"/>
        </w:rPr>
        <w:t>Á ce montant s’ajoute le cofinancement</w:t>
      </w:r>
      <w:r w:rsidR="00561786">
        <w:rPr>
          <w:rFonts w:eastAsia="Times New Roman" w:cs="Times New Roman"/>
          <w:szCs w:val="22"/>
        </w:rPr>
        <w:t xml:space="preserve">, </w:t>
      </w:r>
      <w:r w:rsidRPr="006C1C9B">
        <w:rPr>
          <w:rFonts w:eastAsia="Times New Roman" w:cs="Times New Roman"/>
          <w:szCs w:val="22"/>
        </w:rPr>
        <w:t>national</w:t>
      </w:r>
      <w:r w:rsidR="00C16662" w:rsidRPr="006C1C9B">
        <w:rPr>
          <w:rFonts w:eastAsia="Times New Roman" w:cs="Times New Roman"/>
          <w:szCs w:val="22"/>
        </w:rPr>
        <w:t xml:space="preserve"> </w:t>
      </w:r>
      <w:r w:rsidR="00C16662" w:rsidRPr="006C1C9B">
        <w:rPr>
          <w:rStyle w:val="Rimandonotaapidipagina"/>
          <w:rFonts w:eastAsia="Times New Roman" w:cs="Times New Roman"/>
          <w:szCs w:val="22"/>
        </w:rPr>
        <w:footnoteReference w:id="2"/>
      </w:r>
      <w:r w:rsidR="00AF22EF">
        <w:rPr>
          <w:rFonts w:eastAsia="Times New Roman" w:cs="Times New Roman"/>
          <w:szCs w:val="22"/>
        </w:rPr>
        <w:t xml:space="preserve"> </w:t>
      </w:r>
      <w:r w:rsidR="00C16662" w:rsidRPr="006C1C9B">
        <w:rPr>
          <w:rFonts w:eastAsia="Times New Roman" w:cs="Times New Roman"/>
          <w:szCs w:val="22"/>
        </w:rPr>
        <w:t xml:space="preserve">pour les </w:t>
      </w:r>
      <w:r w:rsidR="00F137A6" w:rsidRPr="006C1C9B">
        <w:rPr>
          <w:rFonts w:eastAsia="Times New Roman" w:cs="Times New Roman"/>
          <w:szCs w:val="22"/>
        </w:rPr>
        <w:t>bénéficiaire</w:t>
      </w:r>
      <w:r w:rsidR="00590069">
        <w:rPr>
          <w:rFonts w:eastAsia="Times New Roman" w:cs="Times New Roman"/>
          <w:szCs w:val="22"/>
        </w:rPr>
        <w:t>s</w:t>
      </w:r>
      <w:r w:rsidR="00C16662" w:rsidRPr="006C1C9B">
        <w:rPr>
          <w:rFonts w:eastAsia="Times New Roman" w:cs="Times New Roman"/>
          <w:szCs w:val="22"/>
        </w:rPr>
        <w:t xml:space="preserve"> publi</w:t>
      </w:r>
      <w:r w:rsidR="00AF22EF">
        <w:rPr>
          <w:rFonts w:eastAsia="Times New Roman" w:cs="Times New Roman"/>
          <w:szCs w:val="22"/>
        </w:rPr>
        <w:t>c</w:t>
      </w:r>
      <w:r w:rsidR="00590069">
        <w:rPr>
          <w:rFonts w:eastAsia="Times New Roman" w:cs="Times New Roman"/>
          <w:szCs w:val="22"/>
        </w:rPr>
        <w:t>s</w:t>
      </w:r>
      <w:r w:rsidR="00C16662" w:rsidRPr="006C1C9B">
        <w:rPr>
          <w:rFonts w:eastAsia="Times New Roman" w:cs="Times New Roman"/>
          <w:szCs w:val="22"/>
        </w:rPr>
        <w:t xml:space="preserve"> et </w:t>
      </w:r>
      <w:r w:rsidR="00F91014">
        <w:rPr>
          <w:rFonts w:eastAsia="Times New Roman" w:cs="Times New Roman"/>
          <w:szCs w:val="22"/>
        </w:rPr>
        <w:t>les</w:t>
      </w:r>
      <w:r w:rsidR="00C16662" w:rsidRPr="006C1C9B">
        <w:rPr>
          <w:rFonts w:eastAsia="Times New Roman" w:cs="Times New Roman"/>
          <w:szCs w:val="22"/>
        </w:rPr>
        <w:t xml:space="preserve"> organi</w:t>
      </w:r>
      <w:r w:rsidR="00236C9B" w:rsidRPr="006C1C9B">
        <w:rPr>
          <w:rFonts w:eastAsia="Times New Roman" w:cs="Times New Roman"/>
          <w:szCs w:val="22"/>
        </w:rPr>
        <w:t>sme</w:t>
      </w:r>
      <w:r w:rsidR="00F91014">
        <w:rPr>
          <w:rFonts w:eastAsia="Times New Roman" w:cs="Times New Roman"/>
          <w:szCs w:val="22"/>
        </w:rPr>
        <w:t>s</w:t>
      </w:r>
      <w:r w:rsidR="00236C9B" w:rsidRPr="006C1C9B">
        <w:rPr>
          <w:rFonts w:eastAsia="Times New Roman" w:cs="Times New Roman"/>
          <w:szCs w:val="22"/>
        </w:rPr>
        <w:t xml:space="preserve"> de droit public</w:t>
      </w:r>
      <w:r w:rsidR="00B42CB5">
        <w:rPr>
          <w:rFonts w:eastAsia="Times New Roman" w:cs="Times New Roman"/>
          <w:szCs w:val="22"/>
        </w:rPr>
        <w:t xml:space="preserve"> et pour l’assistance </w:t>
      </w:r>
      <w:r w:rsidR="00B36B95">
        <w:rPr>
          <w:rFonts w:eastAsia="Times New Roman" w:cs="Times New Roman"/>
          <w:szCs w:val="22"/>
        </w:rPr>
        <w:t>technique</w:t>
      </w:r>
      <w:r w:rsidR="00AF22EF">
        <w:rPr>
          <w:rFonts w:eastAsia="Times New Roman" w:cs="Times New Roman"/>
          <w:szCs w:val="22"/>
        </w:rPr>
        <w:t xml:space="preserve">, </w:t>
      </w:r>
      <w:r w:rsidR="00561786">
        <w:rPr>
          <w:rFonts w:eastAsia="Times New Roman" w:cs="Times New Roman"/>
          <w:szCs w:val="22"/>
        </w:rPr>
        <w:t>1</w:t>
      </w:r>
      <w:r w:rsidR="00236C9B" w:rsidRPr="006C1C9B">
        <w:rPr>
          <w:rFonts w:eastAsia="Times New Roman" w:cs="Times New Roman"/>
          <w:szCs w:val="22"/>
        </w:rPr>
        <w:t>0% de la contribution UE (IVCDCI + FEDER)</w:t>
      </w:r>
      <w:r w:rsidR="004C51EE" w:rsidRPr="006C1C9B">
        <w:rPr>
          <w:rFonts w:eastAsia="Times New Roman" w:cs="Times New Roman"/>
          <w:szCs w:val="22"/>
        </w:rPr>
        <w:t>.</w:t>
      </w:r>
    </w:p>
    <w:p w14:paraId="69234143" w14:textId="0116CBE1" w:rsidR="006C1C9B" w:rsidRDefault="004C51EE" w:rsidP="005F4A3D">
      <w:pPr>
        <w:tabs>
          <w:tab w:val="left" w:pos="8080"/>
        </w:tabs>
        <w:jc w:val="both"/>
        <w:rPr>
          <w:rFonts w:eastAsia="Times New Roman" w:cs="Times New Roman"/>
          <w:szCs w:val="22"/>
        </w:rPr>
      </w:pPr>
      <w:r w:rsidRPr="006C1C9B">
        <w:rPr>
          <w:rFonts w:eastAsia="Times New Roman" w:cs="Times New Roman"/>
          <w:szCs w:val="22"/>
        </w:rPr>
        <w:t xml:space="preserve">Un autre </w:t>
      </w:r>
      <w:r w:rsidR="006C1C9B" w:rsidRPr="006C1C9B">
        <w:rPr>
          <w:rFonts w:eastAsia="Times New Roman" w:cs="Times New Roman"/>
          <w:szCs w:val="22"/>
        </w:rPr>
        <w:t>élément</w:t>
      </w:r>
      <w:r w:rsidRPr="006C1C9B">
        <w:rPr>
          <w:rFonts w:eastAsia="Times New Roman" w:cs="Times New Roman"/>
          <w:szCs w:val="22"/>
        </w:rPr>
        <w:t xml:space="preserve"> est constitué par la concentration </w:t>
      </w:r>
      <w:r w:rsidR="006C1C9B" w:rsidRPr="006C1C9B">
        <w:rPr>
          <w:rFonts w:eastAsia="Times New Roman" w:cs="Times New Roman"/>
          <w:szCs w:val="22"/>
        </w:rPr>
        <w:t>thématique</w:t>
      </w:r>
      <w:r w:rsidRPr="006C1C9B">
        <w:rPr>
          <w:rFonts w:eastAsia="Times New Roman" w:cs="Times New Roman"/>
          <w:szCs w:val="22"/>
        </w:rPr>
        <w:t xml:space="preserve"> dont l’art </w:t>
      </w:r>
      <w:r w:rsidR="006C1C9B" w:rsidRPr="006C1C9B">
        <w:rPr>
          <w:rFonts w:eastAsia="Times New Roman" w:cs="Times New Roman"/>
          <w:szCs w:val="22"/>
        </w:rPr>
        <w:t xml:space="preserve">15 du Règlement </w:t>
      </w:r>
      <w:r w:rsidR="005F4A3D">
        <w:rPr>
          <w:rFonts w:eastAsia="Times New Roman" w:cs="Times New Roman"/>
          <w:szCs w:val="22"/>
        </w:rPr>
        <w:t>1021/1059</w:t>
      </w:r>
      <w:r w:rsidR="005F4A3D">
        <w:rPr>
          <w:rStyle w:val="Rimandonotaapidipagina"/>
          <w:rFonts w:eastAsia="Times New Roman" w:cs="Times New Roman"/>
          <w:szCs w:val="22"/>
        </w:rPr>
        <w:footnoteReference w:id="3"/>
      </w:r>
      <w:r w:rsidR="005F4A3D">
        <w:rPr>
          <w:rFonts w:eastAsia="Times New Roman" w:cs="Times New Roman"/>
          <w:szCs w:val="22"/>
        </w:rPr>
        <w:t xml:space="preserve"> </w:t>
      </w:r>
      <w:r w:rsidR="006C1C9B" w:rsidRPr="006C1C9B">
        <w:rPr>
          <w:rFonts w:eastAsia="Times New Roman" w:cs="Times New Roman"/>
          <w:szCs w:val="22"/>
        </w:rPr>
        <w:t>qui souligne que « Au moins 60 % de la contribution du FEDER et, le cas échéant, des fonds alloués par les instruments de financement extérieur de l’Union à chaque programme Interreg A, B et D sont alloués à l’objectif stratégique 2 et à un maximum de deux autres objectifs stratégiques définis à l’article 5, paragraphe 1, du règlement (UE) 2021/1060” et que  “jusqu’à 20 % de la contribution du FEDER et, le cas échéant, des fonds alloués par les instruments de financement extérieur de l’Union à chaque programme Interreg A, B et D peuvent être alloués à l’objectif spécifique à Interreg «Une meilleure gouvernance de la coopération</w:t>
      </w:r>
      <w:r w:rsidR="00F91014">
        <w:rPr>
          <w:rFonts w:eastAsia="Times New Roman" w:cs="Times New Roman"/>
          <w:szCs w:val="22"/>
        </w:rPr>
        <w:t> »</w:t>
      </w:r>
      <w:r w:rsidR="006C1C9B">
        <w:rPr>
          <w:rFonts w:eastAsia="Times New Roman" w:cs="Times New Roman"/>
          <w:szCs w:val="22"/>
        </w:rPr>
        <w:t xml:space="preserve">. </w:t>
      </w:r>
      <w:r w:rsidR="006C1C9B" w:rsidRPr="006C1C9B">
        <w:rPr>
          <w:rFonts w:eastAsia="Times New Roman" w:cs="Times New Roman"/>
          <w:szCs w:val="22"/>
        </w:rPr>
        <w:t xml:space="preserve"> </w:t>
      </w:r>
    </w:p>
    <w:p w14:paraId="38A70C27" w14:textId="095E8A9F" w:rsidR="00421EA8" w:rsidRDefault="00421EA8" w:rsidP="006C1C9B">
      <w:pPr>
        <w:jc w:val="both"/>
        <w:rPr>
          <w:rFonts w:eastAsia="Times New Roman" w:cs="Times New Roman"/>
          <w:szCs w:val="22"/>
        </w:rPr>
      </w:pPr>
      <w:r w:rsidRPr="00421EA8">
        <w:rPr>
          <w:rFonts w:eastAsia="Times New Roman" w:cs="Times New Roman"/>
          <w:szCs w:val="22"/>
        </w:rPr>
        <w:t>Le cadre réglementaire ainsi défini a ensuite été décliné sur la base des résultats de l'analyse territoriale</w:t>
      </w:r>
      <w:r w:rsidR="002879BE">
        <w:rPr>
          <w:rFonts w:eastAsia="Times New Roman" w:cs="Times New Roman"/>
          <w:szCs w:val="22"/>
        </w:rPr>
        <w:t xml:space="preserve">, </w:t>
      </w:r>
      <w:r w:rsidRPr="00421EA8">
        <w:rPr>
          <w:rFonts w:eastAsia="Times New Roman" w:cs="Times New Roman"/>
          <w:szCs w:val="22"/>
        </w:rPr>
        <w:t>de</w:t>
      </w:r>
      <w:r w:rsidR="002879BE">
        <w:rPr>
          <w:rFonts w:eastAsia="Times New Roman" w:cs="Times New Roman"/>
          <w:szCs w:val="22"/>
        </w:rPr>
        <w:t>s</w:t>
      </w:r>
      <w:r w:rsidRPr="00421EA8">
        <w:rPr>
          <w:rFonts w:eastAsia="Times New Roman" w:cs="Times New Roman"/>
          <w:szCs w:val="22"/>
        </w:rPr>
        <w:t xml:space="preserve"> </w:t>
      </w:r>
      <w:r>
        <w:rPr>
          <w:rFonts w:eastAsia="Times New Roman" w:cs="Times New Roman"/>
          <w:szCs w:val="22"/>
        </w:rPr>
        <w:t>indications des parties prenantes des</w:t>
      </w:r>
      <w:r w:rsidRPr="00421EA8">
        <w:rPr>
          <w:rFonts w:eastAsia="Times New Roman" w:cs="Times New Roman"/>
          <w:szCs w:val="22"/>
        </w:rPr>
        <w:t xml:space="preserve"> territoires</w:t>
      </w:r>
      <w:r w:rsidR="00195253">
        <w:rPr>
          <w:rFonts w:eastAsia="Times New Roman" w:cs="Times New Roman"/>
          <w:szCs w:val="22"/>
        </w:rPr>
        <w:t>,</w:t>
      </w:r>
      <w:r w:rsidR="002879BE">
        <w:rPr>
          <w:rFonts w:eastAsia="Times New Roman" w:cs="Times New Roman"/>
          <w:szCs w:val="22"/>
        </w:rPr>
        <w:t xml:space="preserve"> tels qu</w:t>
      </w:r>
      <w:r w:rsidR="00AF22EF">
        <w:rPr>
          <w:rFonts w:eastAsia="Times New Roman" w:cs="Times New Roman"/>
          <w:szCs w:val="22"/>
        </w:rPr>
        <w:t>’</w:t>
      </w:r>
      <w:r w:rsidR="002879BE">
        <w:rPr>
          <w:rFonts w:eastAsia="Times New Roman" w:cs="Times New Roman"/>
          <w:szCs w:val="22"/>
        </w:rPr>
        <w:t xml:space="preserve">émergés </w:t>
      </w:r>
      <w:r w:rsidR="00AF22EF">
        <w:rPr>
          <w:rFonts w:eastAsia="Times New Roman" w:cs="Times New Roman"/>
          <w:szCs w:val="22"/>
        </w:rPr>
        <w:t>des</w:t>
      </w:r>
      <w:r w:rsidR="002879BE">
        <w:rPr>
          <w:rFonts w:eastAsia="Times New Roman" w:cs="Times New Roman"/>
          <w:szCs w:val="22"/>
        </w:rPr>
        <w:t xml:space="preserve"> questionnaires et </w:t>
      </w:r>
      <w:r w:rsidR="00AF22EF">
        <w:rPr>
          <w:rFonts w:eastAsia="Times New Roman" w:cs="Times New Roman"/>
          <w:szCs w:val="22"/>
        </w:rPr>
        <w:t>d</w:t>
      </w:r>
      <w:r w:rsidR="002879BE">
        <w:rPr>
          <w:rFonts w:eastAsia="Times New Roman" w:cs="Times New Roman"/>
          <w:szCs w:val="22"/>
        </w:rPr>
        <w:t xml:space="preserve">es tables thématiques, </w:t>
      </w:r>
      <w:r w:rsidR="009702E8">
        <w:rPr>
          <w:rFonts w:eastAsia="Times New Roman" w:cs="Times New Roman"/>
          <w:szCs w:val="22"/>
        </w:rPr>
        <w:t xml:space="preserve"> </w:t>
      </w:r>
      <w:r w:rsidRPr="00421EA8">
        <w:rPr>
          <w:rFonts w:eastAsia="Times New Roman" w:cs="Times New Roman"/>
          <w:szCs w:val="22"/>
        </w:rPr>
        <w:t xml:space="preserve">et </w:t>
      </w:r>
      <w:r w:rsidR="00194B11">
        <w:rPr>
          <w:rFonts w:eastAsia="Times New Roman" w:cs="Times New Roman"/>
          <w:szCs w:val="22"/>
        </w:rPr>
        <w:t xml:space="preserve"> de </w:t>
      </w:r>
      <w:r w:rsidRPr="00421EA8">
        <w:rPr>
          <w:rFonts w:eastAsia="Times New Roman" w:cs="Times New Roman"/>
          <w:szCs w:val="22"/>
        </w:rPr>
        <w:t>la capitalisation des expériences des programmes passés.</w:t>
      </w:r>
    </w:p>
    <w:p w14:paraId="7FE20191" w14:textId="60E9614D" w:rsidR="00421EA8" w:rsidRDefault="00421EA8" w:rsidP="006C1C9B">
      <w:pPr>
        <w:jc w:val="both"/>
        <w:rPr>
          <w:rFonts w:eastAsia="Times New Roman" w:cs="Times New Roman"/>
          <w:szCs w:val="22"/>
        </w:rPr>
      </w:pPr>
      <w:r>
        <w:rPr>
          <w:rFonts w:eastAsia="Times New Roman" w:cs="Times New Roman"/>
          <w:szCs w:val="22"/>
        </w:rPr>
        <w:t xml:space="preserve">Le cadre logique d’intervention du Programme en terme d’Objectifs </w:t>
      </w:r>
      <w:r w:rsidR="00F137A6">
        <w:rPr>
          <w:rFonts w:eastAsia="Times New Roman" w:cs="Times New Roman"/>
          <w:szCs w:val="22"/>
        </w:rPr>
        <w:t>stratégiques</w:t>
      </w:r>
      <w:r>
        <w:rPr>
          <w:rFonts w:eastAsia="Times New Roman" w:cs="Times New Roman"/>
          <w:szCs w:val="22"/>
        </w:rPr>
        <w:t xml:space="preserve"> et objectifs </w:t>
      </w:r>
      <w:r w:rsidR="00F137A6">
        <w:rPr>
          <w:rFonts w:eastAsia="Times New Roman" w:cs="Times New Roman"/>
          <w:szCs w:val="22"/>
        </w:rPr>
        <w:t>spécifiques</w:t>
      </w:r>
      <w:r>
        <w:rPr>
          <w:rFonts w:eastAsia="Times New Roman" w:cs="Times New Roman"/>
          <w:szCs w:val="22"/>
        </w:rPr>
        <w:t xml:space="preserve"> à </w:t>
      </w:r>
      <w:r w:rsidR="00F137A6">
        <w:rPr>
          <w:rFonts w:eastAsia="Times New Roman" w:cs="Times New Roman"/>
          <w:szCs w:val="22"/>
        </w:rPr>
        <w:t>était</w:t>
      </w:r>
      <w:r>
        <w:rPr>
          <w:rFonts w:eastAsia="Times New Roman" w:cs="Times New Roman"/>
          <w:szCs w:val="22"/>
        </w:rPr>
        <w:t xml:space="preserve"> approuvé lorsque </w:t>
      </w:r>
      <w:r w:rsidR="00F137A6">
        <w:rPr>
          <w:rFonts w:eastAsia="Times New Roman" w:cs="Times New Roman"/>
          <w:szCs w:val="22"/>
        </w:rPr>
        <w:t>de</w:t>
      </w:r>
      <w:r>
        <w:rPr>
          <w:rFonts w:eastAsia="Times New Roman" w:cs="Times New Roman"/>
          <w:szCs w:val="22"/>
        </w:rPr>
        <w:t xml:space="preserve"> la IV </w:t>
      </w:r>
      <w:r w:rsidR="00F137A6">
        <w:rPr>
          <w:rFonts w:eastAsia="Times New Roman" w:cs="Times New Roman"/>
          <w:szCs w:val="22"/>
        </w:rPr>
        <w:t>réunion</w:t>
      </w:r>
      <w:r>
        <w:rPr>
          <w:rFonts w:eastAsia="Times New Roman" w:cs="Times New Roman"/>
          <w:szCs w:val="22"/>
        </w:rPr>
        <w:t xml:space="preserve"> du Comité </w:t>
      </w:r>
      <w:r w:rsidR="00561786">
        <w:rPr>
          <w:rFonts w:eastAsia="Times New Roman" w:cs="Times New Roman"/>
          <w:szCs w:val="22"/>
        </w:rPr>
        <w:t xml:space="preserve">de Programmation Conjoint </w:t>
      </w:r>
      <w:r>
        <w:rPr>
          <w:rFonts w:eastAsia="Times New Roman" w:cs="Times New Roman"/>
          <w:szCs w:val="22"/>
        </w:rPr>
        <w:t xml:space="preserve"> du </w:t>
      </w:r>
      <w:r w:rsidR="00F137A6">
        <w:rPr>
          <w:rFonts w:eastAsia="Times New Roman" w:cs="Times New Roman"/>
          <w:szCs w:val="22"/>
        </w:rPr>
        <w:t>4 Octobre 2021.</w:t>
      </w:r>
    </w:p>
    <w:p w14:paraId="3F04D46B" w14:textId="70ABE2CE" w:rsidR="001622EF" w:rsidRDefault="00AF22EF" w:rsidP="001622EF">
      <w:pPr>
        <w:jc w:val="both"/>
        <w:rPr>
          <w:rFonts w:eastAsia="Times New Roman" w:cs="Times New Roman"/>
          <w:szCs w:val="22"/>
        </w:rPr>
      </w:pPr>
      <w:r>
        <w:rPr>
          <w:rFonts w:eastAsia="Times New Roman" w:cs="Times New Roman"/>
          <w:szCs w:val="22"/>
        </w:rPr>
        <w:t>Il s</w:t>
      </w:r>
      <w:r w:rsidR="001622EF" w:rsidRPr="001622EF">
        <w:rPr>
          <w:rFonts w:eastAsia="Times New Roman" w:cs="Times New Roman"/>
          <w:szCs w:val="22"/>
        </w:rPr>
        <w:t>'agit d'une sélection qui respecte et approfondit les thèmes abordés par les p</w:t>
      </w:r>
      <w:r w:rsidR="002879BE">
        <w:rPr>
          <w:rFonts w:eastAsia="Times New Roman" w:cs="Times New Roman"/>
          <w:szCs w:val="22"/>
        </w:rPr>
        <w:t>rogrammes précédents</w:t>
      </w:r>
      <w:r w:rsidR="001622EF" w:rsidRPr="001622EF">
        <w:rPr>
          <w:rFonts w:eastAsia="Times New Roman" w:cs="Times New Roman"/>
          <w:szCs w:val="22"/>
        </w:rPr>
        <w:t>: innovation et recherche, soutien aux PME, environnement décliné dans les questions urgentes et émergentes (énergie, changement</w:t>
      </w:r>
      <w:r>
        <w:rPr>
          <w:rFonts w:eastAsia="Times New Roman" w:cs="Times New Roman"/>
          <w:szCs w:val="22"/>
        </w:rPr>
        <w:t>s</w:t>
      </w:r>
      <w:r w:rsidR="001622EF" w:rsidRPr="001622EF">
        <w:rPr>
          <w:rFonts w:eastAsia="Times New Roman" w:cs="Times New Roman"/>
          <w:szCs w:val="22"/>
        </w:rPr>
        <w:t xml:space="preserve"> climatique</w:t>
      </w:r>
      <w:r>
        <w:rPr>
          <w:rFonts w:eastAsia="Times New Roman" w:cs="Times New Roman"/>
          <w:szCs w:val="22"/>
        </w:rPr>
        <w:t>s</w:t>
      </w:r>
      <w:r w:rsidR="001622EF" w:rsidRPr="001622EF">
        <w:rPr>
          <w:rFonts w:eastAsia="Times New Roman" w:cs="Times New Roman"/>
          <w:szCs w:val="22"/>
        </w:rPr>
        <w:t xml:space="preserve">, eau, protection de l'environnement), traitant spécifiquement des aspects d'inclusion sociale et de lutte contre l'exclusion jusqu'ici transversaux aux actions des programmes passés, et désormais déclinés dans l'égalité d'accès </w:t>
      </w:r>
      <w:r w:rsidR="002879BE">
        <w:rPr>
          <w:rFonts w:eastAsia="Times New Roman" w:cs="Times New Roman"/>
          <w:szCs w:val="22"/>
        </w:rPr>
        <w:t>aux soins de</w:t>
      </w:r>
      <w:r w:rsidR="001622EF" w:rsidRPr="001622EF">
        <w:rPr>
          <w:rFonts w:eastAsia="Times New Roman" w:cs="Times New Roman"/>
          <w:szCs w:val="22"/>
        </w:rPr>
        <w:t xml:space="preserve"> santé et dans la dimension inclusive et durable de la combinaison du tourisme et de la culture. La bonne gouvernance du programme est, par contre, un nouvel élément qui complète et intègre les actions du programme avec les stratégies et les actions qui affectent l'espace commun méditerranéen et renforce la capacité d'inclure et de gérer les différentes réalités qui opèrent sur les territoires en proposant des modèles de gouvernance partagée.</w:t>
      </w:r>
    </w:p>
    <w:p w14:paraId="4FEAD7EB" w14:textId="771DBE8E" w:rsidR="001F30DB" w:rsidRPr="001622EF" w:rsidRDefault="001F30DB" w:rsidP="001622EF">
      <w:pPr>
        <w:jc w:val="both"/>
        <w:rPr>
          <w:rFonts w:eastAsia="Times New Roman" w:cs="Times New Roman"/>
          <w:szCs w:val="22"/>
        </w:rPr>
      </w:pPr>
      <w:r>
        <w:rPr>
          <w:rFonts w:eastAsia="Times New Roman" w:cs="Times New Roman"/>
          <w:szCs w:val="22"/>
        </w:rPr>
        <w:lastRenderedPageBreak/>
        <w:t xml:space="preserve">L’allocation envisagé </w:t>
      </w:r>
      <w:r w:rsidR="00EF6E98">
        <w:rPr>
          <w:rFonts w:eastAsia="Times New Roman" w:cs="Times New Roman"/>
          <w:szCs w:val="22"/>
        </w:rPr>
        <w:t xml:space="preserve">privilège l’OS « un espace de </w:t>
      </w:r>
      <w:r w:rsidR="007E6E33">
        <w:rPr>
          <w:rFonts w:eastAsia="Times New Roman" w:cs="Times New Roman"/>
          <w:szCs w:val="22"/>
        </w:rPr>
        <w:t>coopération</w:t>
      </w:r>
      <w:r w:rsidR="00EF6E98">
        <w:rPr>
          <w:rFonts w:eastAsia="Times New Roman" w:cs="Times New Roman"/>
          <w:szCs w:val="22"/>
        </w:rPr>
        <w:t xml:space="preserve"> plus vert et </w:t>
      </w:r>
      <w:r w:rsidR="007E6E33">
        <w:rPr>
          <w:rFonts w:eastAsia="Times New Roman" w:cs="Times New Roman"/>
          <w:szCs w:val="22"/>
        </w:rPr>
        <w:t>résiliente</w:t>
      </w:r>
      <w:r w:rsidR="00EF6E98">
        <w:rPr>
          <w:rFonts w:eastAsia="Times New Roman" w:cs="Times New Roman"/>
          <w:szCs w:val="22"/>
        </w:rPr>
        <w:t> »  (45% du budget)</w:t>
      </w:r>
      <w:r w:rsidR="00BE7E51">
        <w:rPr>
          <w:rFonts w:eastAsia="Times New Roman" w:cs="Times New Roman"/>
          <w:szCs w:val="22"/>
        </w:rPr>
        <w:t xml:space="preserve"> </w:t>
      </w:r>
      <w:r w:rsidR="00EF6E98">
        <w:rPr>
          <w:rFonts w:eastAsia="Times New Roman" w:cs="Times New Roman"/>
          <w:szCs w:val="22"/>
        </w:rPr>
        <w:t>en ligne avec les indication</w:t>
      </w:r>
      <w:r w:rsidR="0057092B">
        <w:rPr>
          <w:rFonts w:eastAsia="Times New Roman" w:cs="Times New Roman"/>
          <w:szCs w:val="22"/>
        </w:rPr>
        <w:t>s</w:t>
      </w:r>
      <w:r w:rsidR="00EF6E98">
        <w:rPr>
          <w:rFonts w:eastAsia="Times New Roman" w:cs="Times New Roman"/>
          <w:szCs w:val="22"/>
        </w:rPr>
        <w:t xml:space="preserve"> </w:t>
      </w:r>
      <w:r w:rsidR="007E6E33">
        <w:rPr>
          <w:rFonts w:eastAsia="Times New Roman" w:cs="Times New Roman"/>
          <w:szCs w:val="22"/>
        </w:rPr>
        <w:t>règlementaires</w:t>
      </w:r>
      <w:r w:rsidR="00EF6E98">
        <w:rPr>
          <w:rFonts w:eastAsia="Times New Roman" w:cs="Times New Roman"/>
          <w:szCs w:val="22"/>
        </w:rPr>
        <w:t xml:space="preserve"> </w:t>
      </w:r>
      <w:r w:rsidR="007E6E33">
        <w:rPr>
          <w:rFonts w:eastAsia="Times New Roman" w:cs="Times New Roman"/>
          <w:szCs w:val="22"/>
        </w:rPr>
        <w:t>européennes</w:t>
      </w:r>
      <w:r w:rsidR="00EF6E98">
        <w:rPr>
          <w:rFonts w:eastAsia="Times New Roman" w:cs="Times New Roman"/>
          <w:szCs w:val="22"/>
        </w:rPr>
        <w:t xml:space="preserve">, suivi par la OS 1 «  un espace de </w:t>
      </w:r>
      <w:r w:rsidR="00350AB0">
        <w:rPr>
          <w:rFonts w:eastAsia="Times New Roman" w:cs="Times New Roman"/>
          <w:szCs w:val="22"/>
        </w:rPr>
        <w:t>coopération</w:t>
      </w:r>
      <w:r w:rsidR="00EF6E98">
        <w:rPr>
          <w:rFonts w:eastAsia="Times New Roman" w:cs="Times New Roman"/>
          <w:szCs w:val="22"/>
        </w:rPr>
        <w:t xml:space="preserve"> plus </w:t>
      </w:r>
      <w:r w:rsidR="00350AB0">
        <w:rPr>
          <w:rFonts w:eastAsia="Times New Roman" w:cs="Times New Roman"/>
          <w:szCs w:val="22"/>
        </w:rPr>
        <w:t>compétitif</w:t>
      </w:r>
      <w:r w:rsidR="00EF6E98">
        <w:rPr>
          <w:rFonts w:eastAsia="Times New Roman" w:cs="Times New Roman"/>
          <w:szCs w:val="22"/>
        </w:rPr>
        <w:t xml:space="preserve"> et intelligente » (25% du budget) en ligne avec les indications </w:t>
      </w:r>
      <w:r w:rsidR="0057092B">
        <w:rPr>
          <w:rFonts w:eastAsia="Times New Roman" w:cs="Times New Roman"/>
          <w:szCs w:val="22"/>
        </w:rPr>
        <w:t>des</w:t>
      </w:r>
      <w:r w:rsidR="00EF6E98">
        <w:rPr>
          <w:rFonts w:eastAsia="Times New Roman" w:cs="Times New Roman"/>
          <w:szCs w:val="22"/>
        </w:rPr>
        <w:t xml:space="preserve"> </w:t>
      </w:r>
      <w:r w:rsidR="00350AB0">
        <w:rPr>
          <w:rFonts w:eastAsia="Times New Roman" w:cs="Times New Roman"/>
          <w:szCs w:val="22"/>
        </w:rPr>
        <w:t>expériences</w:t>
      </w:r>
      <w:r w:rsidR="00EF6E98">
        <w:rPr>
          <w:rFonts w:eastAsia="Times New Roman" w:cs="Times New Roman"/>
          <w:szCs w:val="22"/>
        </w:rPr>
        <w:t xml:space="preserve"> </w:t>
      </w:r>
      <w:r w:rsidR="00350AB0">
        <w:rPr>
          <w:rFonts w:eastAsia="Times New Roman" w:cs="Times New Roman"/>
          <w:szCs w:val="22"/>
        </w:rPr>
        <w:t>passé</w:t>
      </w:r>
      <w:r w:rsidR="0057092B">
        <w:rPr>
          <w:rFonts w:eastAsia="Times New Roman" w:cs="Times New Roman"/>
          <w:szCs w:val="22"/>
        </w:rPr>
        <w:t>e</w:t>
      </w:r>
      <w:r w:rsidR="00350AB0">
        <w:rPr>
          <w:rFonts w:eastAsia="Times New Roman" w:cs="Times New Roman"/>
          <w:szCs w:val="22"/>
        </w:rPr>
        <w:t>s</w:t>
      </w:r>
      <w:r w:rsidR="00EF6E98">
        <w:rPr>
          <w:rFonts w:eastAsia="Times New Roman" w:cs="Times New Roman"/>
          <w:szCs w:val="22"/>
        </w:rPr>
        <w:t xml:space="preserve"> et les </w:t>
      </w:r>
      <w:r w:rsidR="00350AB0">
        <w:rPr>
          <w:rFonts w:eastAsia="Times New Roman" w:cs="Times New Roman"/>
          <w:szCs w:val="22"/>
        </w:rPr>
        <w:t>résultats</w:t>
      </w:r>
      <w:r w:rsidR="00EF6E98">
        <w:rPr>
          <w:rFonts w:eastAsia="Times New Roman" w:cs="Times New Roman"/>
          <w:szCs w:val="22"/>
        </w:rPr>
        <w:t xml:space="preserve"> de la concertation avec les parties prenantes des territoires et l’OT 4 «  un espace de </w:t>
      </w:r>
      <w:r w:rsidR="00350AB0">
        <w:rPr>
          <w:rFonts w:eastAsia="Times New Roman" w:cs="Times New Roman"/>
          <w:szCs w:val="22"/>
        </w:rPr>
        <w:t>coopération</w:t>
      </w:r>
      <w:r w:rsidR="00EF6E98">
        <w:rPr>
          <w:rFonts w:eastAsia="Times New Roman" w:cs="Times New Roman"/>
          <w:szCs w:val="22"/>
        </w:rPr>
        <w:t xml:space="preserve"> plus sociale et inclusive » (20</w:t>
      </w:r>
      <w:r w:rsidR="005F4A3D">
        <w:rPr>
          <w:rFonts w:eastAsia="Times New Roman" w:cs="Times New Roman"/>
          <w:szCs w:val="22"/>
        </w:rPr>
        <w:t xml:space="preserve">%). A’ l’Objectif </w:t>
      </w:r>
      <w:r w:rsidR="00350AB0">
        <w:rPr>
          <w:rFonts w:eastAsia="Times New Roman" w:cs="Times New Roman"/>
          <w:szCs w:val="22"/>
        </w:rPr>
        <w:t>spécifique</w:t>
      </w:r>
      <w:r w:rsidR="005F4A3D">
        <w:rPr>
          <w:rFonts w:eastAsia="Times New Roman" w:cs="Times New Roman"/>
          <w:szCs w:val="22"/>
        </w:rPr>
        <w:t xml:space="preserve"> à Interreg </w:t>
      </w:r>
      <w:r w:rsidR="00AF22EF">
        <w:rPr>
          <w:rFonts w:eastAsia="Times New Roman" w:cs="Times New Roman"/>
          <w:szCs w:val="22"/>
        </w:rPr>
        <w:t>a</w:t>
      </w:r>
      <w:r w:rsidR="005F4A3D">
        <w:rPr>
          <w:rFonts w:eastAsia="Times New Roman" w:cs="Times New Roman"/>
          <w:szCs w:val="22"/>
        </w:rPr>
        <w:t xml:space="preserve"> </w:t>
      </w:r>
      <w:r w:rsidR="00350AB0">
        <w:rPr>
          <w:rFonts w:eastAsia="Times New Roman" w:cs="Times New Roman"/>
          <w:szCs w:val="22"/>
        </w:rPr>
        <w:t>ét</w:t>
      </w:r>
      <w:r w:rsidR="00AF22EF">
        <w:rPr>
          <w:rFonts w:eastAsia="Times New Roman" w:cs="Times New Roman"/>
          <w:szCs w:val="22"/>
        </w:rPr>
        <w:t>é</w:t>
      </w:r>
      <w:r w:rsidR="005F4A3D">
        <w:rPr>
          <w:rFonts w:eastAsia="Times New Roman" w:cs="Times New Roman"/>
          <w:szCs w:val="22"/>
        </w:rPr>
        <w:t xml:space="preserve"> alloué 10% dans les </w:t>
      </w:r>
      <w:r w:rsidR="00350AB0">
        <w:rPr>
          <w:rFonts w:eastAsia="Times New Roman" w:cs="Times New Roman"/>
          <w:szCs w:val="22"/>
        </w:rPr>
        <w:t>paramètres</w:t>
      </w:r>
      <w:r w:rsidR="005F4A3D">
        <w:rPr>
          <w:rFonts w:eastAsia="Times New Roman" w:cs="Times New Roman"/>
          <w:szCs w:val="22"/>
        </w:rPr>
        <w:t xml:space="preserve"> envisagés par le </w:t>
      </w:r>
      <w:r w:rsidR="00350AB0">
        <w:rPr>
          <w:rFonts w:eastAsia="Times New Roman" w:cs="Times New Roman"/>
          <w:szCs w:val="22"/>
        </w:rPr>
        <w:t>Règlement 1021/1059.</w:t>
      </w:r>
      <w:r w:rsidR="00BE7E51">
        <w:rPr>
          <w:rFonts w:eastAsia="Times New Roman" w:cs="Times New Roman"/>
          <w:szCs w:val="22"/>
        </w:rPr>
        <w:t xml:space="preserve"> Dans l’OS 2, un montant plus </w:t>
      </w:r>
      <w:r w:rsidR="00AF22EF">
        <w:rPr>
          <w:rFonts w:eastAsia="Times New Roman" w:cs="Times New Roman"/>
          <w:szCs w:val="22"/>
        </w:rPr>
        <w:t>é</w:t>
      </w:r>
      <w:r w:rsidR="00BE7E51">
        <w:rPr>
          <w:rFonts w:eastAsia="Times New Roman" w:cs="Times New Roman"/>
          <w:szCs w:val="22"/>
        </w:rPr>
        <w:t xml:space="preserve">levé (15% du budget de l’OS)  </w:t>
      </w:r>
      <w:r w:rsidR="00AF22EF">
        <w:rPr>
          <w:rFonts w:eastAsia="Times New Roman" w:cs="Times New Roman"/>
          <w:szCs w:val="22"/>
        </w:rPr>
        <w:t>a été</w:t>
      </w:r>
      <w:r w:rsidR="00BE7E51">
        <w:rPr>
          <w:rFonts w:eastAsia="Times New Roman" w:cs="Times New Roman"/>
          <w:szCs w:val="22"/>
        </w:rPr>
        <w:t xml:space="preserve"> envisagé pour l’OS 2.2 « </w:t>
      </w:r>
      <w:r w:rsidR="00BE7E51" w:rsidRPr="00BE7E51">
        <w:rPr>
          <w:rFonts w:eastAsia="Times New Roman" w:cs="Times New Roman"/>
          <w:szCs w:val="22"/>
        </w:rPr>
        <w:t>Promouvoir les énergies renouvelables</w:t>
      </w:r>
      <w:r w:rsidR="001B17BD">
        <w:rPr>
          <w:rFonts w:eastAsia="Times New Roman" w:cs="Times New Roman"/>
          <w:szCs w:val="22"/>
        </w:rPr>
        <w:t> » en tenant compte</w:t>
      </w:r>
      <w:r w:rsidR="00BE7E51" w:rsidRPr="00BE7E51">
        <w:rPr>
          <w:rFonts w:eastAsia="Times New Roman" w:cs="Times New Roman"/>
          <w:szCs w:val="22"/>
        </w:rPr>
        <w:t xml:space="preserve"> </w:t>
      </w:r>
      <w:r w:rsidR="001B17BD">
        <w:rPr>
          <w:rFonts w:eastAsia="Times New Roman" w:cs="Times New Roman"/>
          <w:szCs w:val="22"/>
        </w:rPr>
        <w:t xml:space="preserve">des </w:t>
      </w:r>
      <w:r w:rsidR="00BE7E51" w:rsidRPr="00BE7E51">
        <w:rPr>
          <w:rFonts w:eastAsia="Times New Roman" w:cs="Times New Roman"/>
          <w:szCs w:val="22"/>
        </w:rPr>
        <w:t>coût</w:t>
      </w:r>
      <w:r w:rsidR="001B17BD">
        <w:rPr>
          <w:rFonts w:eastAsia="Times New Roman" w:cs="Times New Roman"/>
          <w:szCs w:val="22"/>
        </w:rPr>
        <w:t>s</w:t>
      </w:r>
      <w:r w:rsidR="00BE7E51" w:rsidRPr="00BE7E51">
        <w:rPr>
          <w:rFonts w:eastAsia="Times New Roman" w:cs="Times New Roman"/>
          <w:szCs w:val="22"/>
        </w:rPr>
        <w:t xml:space="preserve"> d'intervention plus élevé</w:t>
      </w:r>
      <w:r w:rsidR="001B17BD">
        <w:rPr>
          <w:rFonts w:eastAsia="Times New Roman" w:cs="Times New Roman"/>
          <w:szCs w:val="22"/>
        </w:rPr>
        <w:t>s</w:t>
      </w:r>
      <w:r w:rsidR="00BE7E51" w:rsidRPr="00BE7E51">
        <w:rPr>
          <w:rFonts w:eastAsia="Times New Roman" w:cs="Times New Roman"/>
          <w:szCs w:val="22"/>
        </w:rPr>
        <w:t>, notamment en ce qui concerne les expérimentations et les projets pilotes</w:t>
      </w:r>
      <w:r w:rsidR="001B17BD">
        <w:rPr>
          <w:rFonts w:eastAsia="Times New Roman" w:cs="Times New Roman"/>
          <w:szCs w:val="22"/>
        </w:rPr>
        <w:t xml:space="preserve"> en matière. </w:t>
      </w:r>
    </w:p>
    <w:p w14:paraId="3755E48A" w14:textId="77777777" w:rsidR="001622EF" w:rsidRDefault="001622EF" w:rsidP="001622EF">
      <w:pPr>
        <w:jc w:val="both"/>
        <w:rPr>
          <w:rFonts w:eastAsia="Times New Roman" w:cs="Times New Roman"/>
          <w:szCs w:val="22"/>
        </w:rPr>
      </w:pPr>
    </w:p>
    <w:p w14:paraId="5D9CDD3B" w14:textId="77777777" w:rsidR="00545E1A" w:rsidRDefault="00545E1A" w:rsidP="001622EF">
      <w:pPr>
        <w:jc w:val="both"/>
        <w:rPr>
          <w:rFonts w:eastAsia="Times New Roman" w:cs="Times New Roman"/>
          <w:szCs w:val="22"/>
        </w:rPr>
      </w:pPr>
    </w:p>
    <w:p w14:paraId="5E38498C" w14:textId="1B6FA106" w:rsidR="00F137A6" w:rsidRDefault="00CD7DC8" w:rsidP="006C1C9B">
      <w:pPr>
        <w:jc w:val="both"/>
        <w:rPr>
          <w:rFonts w:eastAsia="Times New Roman" w:cs="Times New Roman"/>
          <w:szCs w:val="22"/>
        </w:rPr>
      </w:pPr>
      <w:r w:rsidRPr="00CD7DC8">
        <w:rPr>
          <w:rFonts w:eastAsia="Times New Roman" w:cs="Times New Roman"/>
          <w:szCs w:val="22"/>
        </w:rPr>
        <w:t>RESUM</w:t>
      </w:r>
      <w:r w:rsidR="00F42C80">
        <w:rPr>
          <w:rFonts w:eastAsia="Times New Roman" w:cs="Times New Roman"/>
          <w:szCs w:val="22"/>
        </w:rPr>
        <w:t>É</w:t>
      </w:r>
      <w:r w:rsidRPr="00CD7DC8">
        <w:rPr>
          <w:rFonts w:eastAsia="Times New Roman" w:cs="Times New Roman"/>
          <w:szCs w:val="22"/>
        </w:rPr>
        <w:t xml:space="preserve"> DES RESSOURCES FINANCIERES DISPONIBLES POUR LE PROGRAMME ET DES ALLOCATIONS </w:t>
      </w:r>
      <w:r>
        <w:rPr>
          <w:rFonts w:eastAsia="Times New Roman" w:cs="Times New Roman"/>
          <w:szCs w:val="22"/>
        </w:rPr>
        <w:t xml:space="preserve">POUR LES PROJETS ET L’ASSISTANCE TECHNIQUE </w:t>
      </w:r>
    </w:p>
    <w:p w14:paraId="4B363327" w14:textId="77777777" w:rsidR="00421EA8" w:rsidRDefault="00421EA8" w:rsidP="006C1C9B">
      <w:pPr>
        <w:jc w:val="both"/>
        <w:rPr>
          <w:rFonts w:eastAsia="Times New Roman" w:cs="Times New Roman"/>
          <w:szCs w:val="22"/>
        </w:rPr>
      </w:pPr>
    </w:p>
    <w:tbl>
      <w:tblPr>
        <w:tblW w:w="5840" w:type="dxa"/>
        <w:tblInd w:w="55" w:type="dxa"/>
        <w:tblCellMar>
          <w:left w:w="70" w:type="dxa"/>
          <w:right w:w="70" w:type="dxa"/>
        </w:tblCellMar>
        <w:tblLook w:val="04A0" w:firstRow="1" w:lastRow="0" w:firstColumn="1" w:lastColumn="0" w:noHBand="0" w:noVBand="1"/>
      </w:tblPr>
      <w:tblGrid>
        <w:gridCol w:w="4080"/>
        <w:gridCol w:w="1760"/>
      </w:tblGrid>
      <w:tr w:rsidR="00545E1A" w:rsidRPr="00803BB7" w14:paraId="037632A9" w14:textId="77777777" w:rsidTr="00545E1A">
        <w:trPr>
          <w:trHeight w:val="1160"/>
        </w:trPr>
        <w:tc>
          <w:tcPr>
            <w:tcW w:w="5840" w:type="dxa"/>
            <w:gridSpan w:val="2"/>
            <w:tcBorders>
              <w:top w:val="single" w:sz="4" w:space="0" w:color="auto"/>
              <w:left w:val="single" w:sz="4" w:space="0" w:color="auto"/>
              <w:bottom w:val="single" w:sz="4" w:space="0" w:color="auto"/>
              <w:right w:val="single" w:sz="4" w:space="0" w:color="auto"/>
            </w:tcBorders>
            <w:shd w:val="clear" w:color="000000" w:fill="4F81BD"/>
            <w:noWrap/>
            <w:vAlign w:val="center"/>
            <w:hideMark/>
          </w:tcPr>
          <w:p w14:paraId="7E905E14" w14:textId="77777777" w:rsidR="00545E1A" w:rsidRPr="00803BB7" w:rsidRDefault="00545E1A" w:rsidP="00545E1A">
            <w:pPr>
              <w:jc w:val="center"/>
              <w:rPr>
                <w:rFonts w:ascii="Calibri" w:eastAsia="Times New Roman" w:hAnsi="Calibri" w:cs="Times New Roman"/>
                <w:color w:val="FFFFFF"/>
                <w:szCs w:val="22"/>
                <w:lang w:val="it-IT"/>
              </w:rPr>
            </w:pPr>
            <w:r w:rsidRPr="00803BB7">
              <w:rPr>
                <w:rFonts w:ascii="Calibri" w:eastAsia="Times New Roman" w:hAnsi="Calibri" w:cs="Times New Roman"/>
                <w:color w:val="FFFFFF"/>
                <w:szCs w:val="22"/>
                <w:lang w:val="it-IT"/>
              </w:rPr>
              <w:t>INTERREG NEXT ITALIE TUNISIE 2021-2027</w:t>
            </w:r>
          </w:p>
        </w:tc>
      </w:tr>
      <w:tr w:rsidR="00545E1A" w:rsidRPr="00803BB7" w14:paraId="69674485" w14:textId="77777777" w:rsidTr="00545E1A">
        <w:trPr>
          <w:trHeight w:val="1100"/>
        </w:trPr>
        <w:tc>
          <w:tcPr>
            <w:tcW w:w="4080" w:type="dxa"/>
            <w:tcBorders>
              <w:top w:val="nil"/>
              <w:left w:val="single" w:sz="4" w:space="0" w:color="auto"/>
              <w:bottom w:val="nil"/>
              <w:right w:val="single" w:sz="4" w:space="0" w:color="auto"/>
            </w:tcBorders>
            <w:shd w:val="clear" w:color="auto" w:fill="auto"/>
            <w:noWrap/>
            <w:vAlign w:val="bottom"/>
            <w:hideMark/>
          </w:tcPr>
          <w:p w14:paraId="68822794" w14:textId="77777777" w:rsidR="00545E1A" w:rsidRPr="00803BB7" w:rsidRDefault="00545E1A" w:rsidP="00545E1A">
            <w:pPr>
              <w:rPr>
                <w:rFonts w:ascii="Calibri" w:eastAsia="Times New Roman" w:hAnsi="Calibri" w:cs="Times New Roman"/>
                <w:color w:val="000000"/>
                <w:szCs w:val="22"/>
                <w:lang w:val="it-IT"/>
              </w:rPr>
            </w:pPr>
            <w:r w:rsidRPr="00803BB7">
              <w:rPr>
                <w:rFonts w:ascii="Calibri" w:eastAsia="Times New Roman" w:hAnsi="Calibri" w:cs="Times New Roman"/>
                <w:color w:val="000000"/>
                <w:szCs w:val="22"/>
                <w:lang w:val="it-IT"/>
              </w:rPr>
              <w:t>RESSOURCES IVCDCI</w:t>
            </w:r>
          </w:p>
        </w:tc>
        <w:tc>
          <w:tcPr>
            <w:tcW w:w="1760" w:type="dxa"/>
            <w:tcBorders>
              <w:top w:val="nil"/>
              <w:left w:val="nil"/>
              <w:bottom w:val="nil"/>
              <w:right w:val="single" w:sz="4" w:space="0" w:color="auto"/>
            </w:tcBorders>
            <w:shd w:val="clear" w:color="auto" w:fill="auto"/>
            <w:noWrap/>
            <w:vAlign w:val="bottom"/>
            <w:hideMark/>
          </w:tcPr>
          <w:p w14:paraId="64353CB8" w14:textId="51F8BD30" w:rsidR="00545E1A" w:rsidRPr="00803BB7" w:rsidRDefault="00E62376" w:rsidP="00E62376">
            <w:pPr>
              <w:jc w:val="center"/>
              <w:rPr>
                <w:rFonts w:ascii="Calibri" w:eastAsia="Times New Roman" w:hAnsi="Calibri" w:cs="Times New Roman"/>
                <w:color w:val="000000"/>
                <w:szCs w:val="22"/>
                <w:lang w:val="it-IT"/>
              </w:rPr>
            </w:pPr>
            <w:r w:rsidRPr="00803BB7">
              <w:rPr>
                <w:rFonts w:ascii="Calibri" w:eastAsia="Times New Roman" w:hAnsi="Calibri" w:cs="Times New Roman"/>
                <w:color w:val="000000"/>
                <w:szCs w:val="22"/>
                <w:lang w:val="it-IT"/>
              </w:rPr>
              <w:t xml:space="preserve">€ </w:t>
            </w:r>
            <w:r w:rsidR="00545E1A" w:rsidRPr="00803BB7">
              <w:rPr>
                <w:rFonts w:ascii="Calibri" w:eastAsia="Times New Roman" w:hAnsi="Calibri" w:cs="Times New Roman"/>
                <w:color w:val="000000"/>
                <w:szCs w:val="22"/>
                <w:lang w:val="it-IT"/>
              </w:rPr>
              <w:t>16.330.520,00</w:t>
            </w:r>
          </w:p>
        </w:tc>
      </w:tr>
      <w:tr w:rsidR="00545E1A" w:rsidRPr="00803BB7" w14:paraId="7ED08F0D" w14:textId="77777777" w:rsidTr="00545E1A">
        <w:trPr>
          <w:trHeight w:val="660"/>
        </w:trPr>
        <w:tc>
          <w:tcPr>
            <w:tcW w:w="4080" w:type="dxa"/>
            <w:tcBorders>
              <w:top w:val="nil"/>
              <w:left w:val="single" w:sz="4" w:space="0" w:color="auto"/>
              <w:bottom w:val="nil"/>
              <w:right w:val="single" w:sz="4" w:space="0" w:color="auto"/>
            </w:tcBorders>
            <w:shd w:val="clear" w:color="auto" w:fill="auto"/>
            <w:noWrap/>
            <w:vAlign w:val="bottom"/>
            <w:hideMark/>
          </w:tcPr>
          <w:p w14:paraId="39BC8ED0" w14:textId="77777777" w:rsidR="00545E1A" w:rsidRPr="00803BB7" w:rsidRDefault="00545E1A" w:rsidP="00545E1A">
            <w:pPr>
              <w:rPr>
                <w:rFonts w:ascii="Calibri" w:eastAsia="Times New Roman" w:hAnsi="Calibri" w:cs="Times New Roman"/>
                <w:color w:val="000000"/>
                <w:szCs w:val="22"/>
                <w:lang w:val="it-IT"/>
              </w:rPr>
            </w:pPr>
            <w:r w:rsidRPr="00803BB7">
              <w:rPr>
                <w:rFonts w:ascii="Calibri" w:eastAsia="Times New Roman" w:hAnsi="Calibri" w:cs="Times New Roman"/>
                <w:color w:val="000000"/>
                <w:szCs w:val="22"/>
                <w:lang w:val="it-IT"/>
              </w:rPr>
              <w:t>RESSOURCES FEDER</w:t>
            </w:r>
          </w:p>
        </w:tc>
        <w:tc>
          <w:tcPr>
            <w:tcW w:w="1760" w:type="dxa"/>
            <w:tcBorders>
              <w:top w:val="nil"/>
              <w:left w:val="nil"/>
              <w:bottom w:val="nil"/>
              <w:right w:val="single" w:sz="4" w:space="0" w:color="auto"/>
            </w:tcBorders>
            <w:shd w:val="clear" w:color="auto" w:fill="auto"/>
            <w:noWrap/>
            <w:vAlign w:val="bottom"/>
            <w:hideMark/>
          </w:tcPr>
          <w:p w14:paraId="11BF9C01" w14:textId="544A9630" w:rsidR="00545E1A" w:rsidRPr="00803BB7" w:rsidRDefault="00E62376" w:rsidP="00545E1A">
            <w:pPr>
              <w:jc w:val="right"/>
              <w:rPr>
                <w:rFonts w:ascii="Calibri" w:eastAsia="Times New Roman" w:hAnsi="Calibri" w:cs="Times New Roman"/>
                <w:color w:val="000000"/>
                <w:szCs w:val="22"/>
                <w:lang w:val="it-IT"/>
              </w:rPr>
            </w:pPr>
            <w:r w:rsidRPr="00803BB7">
              <w:rPr>
                <w:rFonts w:ascii="Calibri" w:eastAsia="Times New Roman" w:hAnsi="Calibri" w:cs="Times New Roman"/>
                <w:color w:val="000000"/>
                <w:szCs w:val="22"/>
                <w:lang w:val="it-IT"/>
              </w:rPr>
              <w:t>€</w:t>
            </w:r>
            <w:r w:rsidR="00545E1A" w:rsidRPr="00803BB7">
              <w:rPr>
                <w:rFonts w:ascii="Calibri" w:eastAsia="Times New Roman" w:hAnsi="Calibri" w:cs="Times New Roman"/>
                <w:color w:val="000000"/>
                <w:szCs w:val="22"/>
                <w:lang w:val="it-IT"/>
              </w:rPr>
              <w:t xml:space="preserve"> 16.010.314,00   </w:t>
            </w:r>
          </w:p>
        </w:tc>
      </w:tr>
      <w:tr w:rsidR="00545E1A" w:rsidRPr="00803BB7" w14:paraId="32B2399D" w14:textId="77777777" w:rsidTr="00545E1A">
        <w:trPr>
          <w:trHeight w:val="660"/>
        </w:trPr>
        <w:tc>
          <w:tcPr>
            <w:tcW w:w="4080" w:type="dxa"/>
            <w:tcBorders>
              <w:top w:val="nil"/>
              <w:left w:val="single" w:sz="4" w:space="0" w:color="auto"/>
              <w:bottom w:val="nil"/>
              <w:right w:val="single" w:sz="4" w:space="0" w:color="auto"/>
            </w:tcBorders>
            <w:shd w:val="clear" w:color="000000" w:fill="C5D9F1"/>
            <w:noWrap/>
            <w:vAlign w:val="bottom"/>
            <w:hideMark/>
          </w:tcPr>
          <w:p w14:paraId="220CEADF" w14:textId="77777777" w:rsidR="00545E1A" w:rsidRPr="00803BB7" w:rsidRDefault="00545E1A" w:rsidP="00545E1A">
            <w:pPr>
              <w:rPr>
                <w:rFonts w:ascii="Calibri" w:eastAsia="Times New Roman" w:hAnsi="Calibri" w:cs="Times New Roman"/>
                <w:color w:val="000000"/>
                <w:szCs w:val="22"/>
                <w:lang w:val="it-IT"/>
              </w:rPr>
            </w:pPr>
            <w:r w:rsidRPr="00803BB7">
              <w:rPr>
                <w:rFonts w:ascii="Calibri" w:eastAsia="Times New Roman" w:hAnsi="Calibri" w:cs="Times New Roman"/>
                <w:color w:val="000000"/>
                <w:szCs w:val="22"/>
                <w:lang w:val="it-IT"/>
              </w:rPr>
              <w:t xml:space="preserve">TOTAL CONTRIBUTION UE </w:t>
            </w:r>
          </w:p>
        </w:tc>
        <w:tc>
          <w:tcPr>
            <w:tcW w:w="1760" w:type="dxa"/>
            <w:tcBorders>
              <w:top w:val="nil"/>
              <w:left w:val="nil"/>
              <w:bottom w:val="nil"/>
              <w:right w:val="single" w:sz="4" w:space="0" w:color="auto"/>
            </w:tcBorders>
            <w:shd w:val="clear" w:color="000000" w:fill="C5D9F1"/>
            <w:noWrap/>
            <w:vAlign w:val="bottom"/>
            <w:hideMark/>
          </w:tcPr>
          <w:p w14:paraId="649B3E4F" w14:textId="4C70A0CE" w:rsidR="00545E1A" w:rsidRPr="00803BB7" w:rsidRDefault="00E62376" w:rsidP="00545E1A">
            <w:pPr>
              <w:jc w:val="right"/>
              <w:rPr>
                <w:rFonts w:ascii="Calibri" w:eastAsia="Times New Roman" w:hAnsi="Calibri" w:cs="Times New Roman"/>
                <w:color w:val="000000"/>
                <w:szCs w:val="22"/>
                <w:lang w:val="it-IT"/>
              </w:rPr>
            </w:pPr>
            <w:r w:rsidRPr="00803BB7">
              <w:rPr>
                <w:rFonts w:ascii="Calibri" w:eastAsia="Times New Roman" w:hAnsi="Calibri" w:cs="Times New Roman"/>
                <w:color w:val="000000"/>
                <w:szCs w:val="22"/>
                <w:lang w:val="it-IT"/>
              </w:rPr>
              <w:t>€</w:t>
            </w:r>
            <w:r w:rsidR="00545E1A" w:rsidRPr="00803BB7">
              <w:rPr>
                <w:rFonts w:ascii="Calibri" w:eastAsia="Times New Roman" w:hAnsi="Calibri" w:cs="Times New Roman"/>
                <w:color w:val="000000"/>
                <w:szCs w:val="22"/>
                <w:lang w:val="it-IT"/>
              </w:rPr>
              <w:t xml:space="preserve"> 32.340.834,00   </w:t>
            </w:r>
          </w:p>
        </w:tc>
      </w:tr>
      <w:tr w:rsidR="00545E1A" w:rsidRPr="00803BB7" w14:paraId="013AF4C3" w14:textId="77777777" w:rsidTr="00545E1A">
        <w:trPr>
          <w:trHeight w:val="660"/>
        </w:trPr>
        <w:tc>
          <w:tcPr>
            <w:tcW w:w="4080" w:type="dxa"/>
            <w:tcBorders>
              <w:top w:val="nil"/>
              <w:left w:val="single" w:sz="4" w:space="0" w:color="auto"/>
              <w:bottom w:val="nil"/>
              <w:right w:val="single" w:sz="4" w:space="0" w:color="auto"/>
            </w:tcBorders>
            <w:shd w:val="clear" w:color="auto" w:fill="auto"/>
            <w:noWrap/>
            <w:vAlign w:val="bottom"/>
            <w:hideMark/>
          </w:tcPr>
          <w:p w14:paraId="7A58F880" w14:textId="77777777" w:rsidR="00545E1A" w:rsidRPr="00803BB7" w:rsidRDefault="00545E1A" w:rsidP="00545E1A">
            <w:pPr>
              <w:rPr>
                <w:rFonts w:ascii="Calibri" w:eastAsia="Times New Roman" w:hAnsi="Calibri" w:cs="Times New Roman"/>
                <w:color w:val="000000"/>
                <w:szCs w:val="22"/>
                <w:lang w:val="it-IT"/>
              </w:rPr>
            </w:pPr>
            <w:r w:rsidRPr="00803BB7">
              <w:rPr>
                <w:rFonts w:ascii="Calibri" w:eastAsia="Times New Roman" w:hAnsi="Calibri" w:cs="Times New Roman"/>
                <w:color w:val="000000"/>
                <w:szCs w:val="22"/>
                <w:lang w:val="it-IT"/>
              </w:rPr>
              <w:t xml:space="preserve">AT (*) </w:t>
            </w:r>
          </w:p>
        </w:tc>
        <w:tc>
          <w:tcPr>
            <w:tcW w:w="1760" w:type="dxa"/>
            <w:tcBorders>
              <w:top w:val="nil"/>
              <w:left w:val="nil"/>
              <w:bottom w:val="nil"/>
              <w:right w:val="single" w:sz="4" w:space="0" w:color="auto"/>
            </w:tcBorders>
            <w:shd w:val="clear" w:color="auto" w:fill="auto"/>
            <w:noWrap/>
            <w:vAlign w:val="bottom"/>
            <w:hideMark/>
          </w:tcPr>
          <w:p w14:paraId="424236BE" w14:textId="17D5D1DC" w:rsidR="00545E1A" w:rsidRPr="00803BB7" w:rsidRDefault="00E62376" w:rsidP="00545E1A">
            <w:pPr>
              <w:jc w:val="right"/>
              <w:rPr>
                <w:rFonts w:ascii="Calibri" w:eastAsia="Times New Roman" w:hAnsi="Calibri" w:cs="Times New Roman"/>
                <w:color w:val="000000"/>
                <w:szCs w:val="22"/>
                <w:lang w:val="it-IT"/>
              </w:rPr>
            </w:pPr>
            <w:r w:rsidRPr="00803BB7">
              <w:rPr>
                <w:rFonts w:ascii="Calibri" w:eastAsia="Times New Roman" w:hAnsi="Calibri" w:cs="Times New Roman"/>
                <w:color w:val="000000"/>
                <w:szCs w:val="22"/>
                <w:lang w:val="it-IT"/>
              </w:rPr>
              <w:t>€</w:t>
            </w:r>
            <w:r w:rsidR="00545E1A" w:rsidRPr="00803BB7">
              <w:rPr>
                <w:rFonts w:ascii="Calibri" w:eastAsia="Times New Roman" w:hAnsi="Calibri" w:cs="Times New Roman"/>
                <w:color w:val="000000"/>
                <w:szCs w:val="22"/>
                <w:lang w:val="it-IT"/>
              </w:rPr>
              <w:t xml:space="preserve"> 3.234.083,40   </w:t>
            </w:r>
          </w:p>
        </w:tc>
      </w:tr>
      <w:tr w:rsidR="00545E1A" w:rsidRPr="00803BB7" w14:paraId="7627EDEC" w14:textId="77777777" w:rsidTr="00545E1A">
        <w:trPr>
          <w:trHeight w:val="660"/>
        </w:trPr>
        <w:tc>
          <w:tcPr>
            <w:tcW w:w="4080" w:type="dxa"/>
            <w:tcBorders>
              <w:top w:val="nil"/>
              <w:left w:val="single" w:sz="4" w:space="0" w:color="auto"/>
              <w:bottom w:val="nil"/>
              <w:right w:val="single" w:sz="4" w:space="0" w:color="auto"/>
            </w:tcBorders>
            <w:shd w:val="clear" w:color="000000" w:fill="CCFFCC"/>
            <w:noWrap/>
            <w:vAlign w:val="bottom"/>
            <w:hideMark/>
          </w:tcPr>
          <w:p w14:paraId="4DCC993B" w14:textId="77777777" w:rsidR="00545E1A" w:rsidRPr="00803BB7" w:rsidRDefault="00545E1A" w:rsidP="00545E1A">
            <w:pPr>
              <w:rPr>
                <w:rFonts w:ascii="Calibri" w:eastAsia="Times New Roman" w:hAnsi="Calibri" w:cs="Times New Roman"/>
                <w:color w:val="000000"/>
                <w:szCs w:val="22"/>
                <w:lang w:val="it-IT"/>
              </w:rPr>
            </w:pPr>
            <w:r w:rsidRPr="00803BB7">
              <w:rPr>
                <w:rFonts w:ascii="Calibri" w:eastAsia="Times New Roman" w:hAnsi="Calibri" w:cs="Times New Roman"/>
                <w:color w:val="000000"/>
                <w:szCs w:val="22"/>
                <w:lang w:val="it-IT"/>
              </w:rPr>
              <w:t xml:space="preserve">CONTRIBUTION TOTAL UE PROJETS </w:t>
            </w:r>
          </w:p>
        </w:tc>
        <w:tc>
          <w:tcPr>
            <w:tcW w:w="1760" w:type="dxa"/>
            <w:tcBorders>
              <w:top w:val="nil"/>
              <w:left w:val="nil"/>
              <w:bottom w:val="nil"/>
              <w:right w:val="single" w:sz="4" w:space="0" w:color="auto"/>
            </w:tcBorders>
            <w:shd w:val="clear" w:color="000000" w:fill="CCFFCC"/>
            <w:noWrap/>
            <w:vAlign w:val="bottom"/>
            <w:hideMark/>
          </w:tcPr>
          <w:p w14:paraId="3D1F55B6" w14:textId="00E0A24B" w:rsidR="00545E1A" w:rsidRPr="00803BB7" w:rsidRDefault="00E62376" w:rsidP="00545E1A">
            <w:pPr>
              <w:jc w:val="right"/>
              <w:rPr>
                <w:rFonts w:ascii="Calibri" w:eastAsia="Times New Roman" w:hAnsi="Calibri" w:cs="Times New Roman"/>
                <w:color w:val="000000"/>
                <w:szCs w:val="22"/>
                <w:lang w:val="it-IT"/>
              </w:rPr>
            </w:pPr>
            <w:r w:rsidRPr="00803BB7">
              <w:rPr>
                <w:rFonts w:ascii="Calibri" w:eastAsia="Times New Roman" w:hAnsi="Calibri" w:cs="Times New Roman"/>
                <w:color w:val="000000"/>
                <w:szCs w:val="22"/>
                <w:lang w:val="it-IT"/>
              </w:rPr>
              <w:t>€</w:t>
            </w:r>
            <w:r w:rsidR="00545E1A" w:rsidRPr="00803BB7">
              <w:rPr>
                <w:rFonts w:ascii="Calibri" w:eastAsia="Times New Roman" w:hAnsi="Calibri" w:cs="Times New Roman"/>
                <w:color w:val="000000"/>
                <w:szCs w:val="22"/>
                <w:lang w:val="it-IT"/>
              </w:rPr>
              <w:t xml:space="preserve"> 29.106.750,60   </w:t>
            </w:r>
          </w:p>
        </w:tc>
      </w:tr>
      <w:tr w:rsidR="00545E1A" w:rsidRPr="00803BB7" w14:paraId="65EC14F5" w14:textId="77777777" w:rsidTr="00545E1A">
        <w:trPr>
          <w:trHeight w:val="660"/>
        </w:trPr>
        <w:tc>
          <w:tcPr>
            <w:tcW w:w="4080" w:type="dxa"/>
            <w:tcBorders>
              <w:top w:val="nil"/>
              <w:left w:val="single" w:sz="4" w:space="0" w:color="auto"/>
              <w:bottom w:val="nil"/>
              <w:right w:val="single" w:sz="4" w:space="0" w:color="auto"/>
            </w:tcBorders>
            <w:shd w:val="clear" w:color="000000" w:fill="DCE6F1"/>
            <w:noWrap/>
            <w:vAlign w:val="bottom"/>
            <w:hideMark/>
          </w:tcPr>
          <w:p w14:paraId="74DF6986" w14:textId="270B5A9E" w:rsidR="00545E1A" w:rsidRPr="00803BB7" w:rsidRDefault="00545E1A" w:rsidP="00CD7DC8">
            <w:pPr>
              <w:rPr>
                <w:rFonts w:ascii="Calibri" w:eastAsia="Times New Roman" w:hAnsi="Calibri" w:cs="Times New Roman"/>
                <w:color w:val="000000"/>
                <w:szCs w:val="22"/>
                <w:lang w:val="it-IT"/>
              </w:rPr>
            </w:pPr>
            <w:r w:rsidRPr="00803BB7">
              <w:rPr>
                <w:rFonts w:ascii="Calibri" w:eastAsia="Times New Roman" w:hAnsi="Calibri" w:cs="Times New Roman"/>
                <w:color w:val="000000"/>
                <w:szCs w:val="22"/>
                <w:lang w:val="it-IT"/>
              </w:rPr>
              <w:t xml:space="preserve">COFINANCEMENT PROJETS </w:t>
            </w:r>
          </w:p>
        </w:tc>
        <w:tc>
          <w:tcPr>
            <w:tcW w:w="1760" w:type="dxa"/>
            <w:tcBorders>
              <w:top w:val="nil"/>
              <w:left w:val="nil"/>
              <w:bottom w:val="nil"/>
              <w:right w:val="single" w:sz="4" w:space="0" w:color="auto"/>
            </w:tcBorders>
            <w:shd w:val="clear" w:color="000000" w:fill="DCE6F1"/>
            <w:noWrap/>
            <w:vAlign w:val="bottom"/>
            <w:hideMark/>
          </w:tcPr>
          <w:p w14:paraId="39E01E02" w14:textId="44BEC1A8" w:rsidR="00545E1A" w:rsidRPr="00803BB7" w:rsidRDefault="00E62376" w:rsidP="00545E1A">
            <w:pPr>
              <w:jc w:val="right"/>
              <w:rPr>
                <w:rFonts w:ascii="Calibri" w:eastAsia="Times New Roman" w:hAnsi="Calibri" w:cs="Times New Roman"/>
                <w:color w:val="000000"/>
                <w:szCs w:val="22"/>
                <w:lang w:val="it-IT"/>
              </w:rPr>
            </w:pPr>
            <w:r w:rsidRPr="00803BB7">
              <w:rPr>
                <w:rFonts w:ascii="Calibri" w:eastAsia="Times New Roman" w:hAnsi="Calibri" w:cs="Times New Roman"/>
                <w:color w:val="000000"/>
                <w:szCs w:val="22"/>
                <w:lang w:val="it-IT"/>
              </w:rPr>
              <w:t>€</w:t>
            </w:r>
            <w:r w:rsidR="00545E1A" w:rsidRPr="00803BB7">
              <w:rPr>
                <w:rFonts w:ascii="Calibri" w:eastAsia="Times New Roman" w:hAnsi="Calibri" w:cs="Times New Roman"/>
                <w:color w:val="000000"/>
                <w:szCs w:val="22"/>
                <w:lang w:val="it-IT"/>
              </w:rPr>
              <w:t xml:space="preserve"> 3.234.080,17   </w:t>
            </w:r>
          </w:p>
        </w:tc>
      </w:tr>
      <w:tr w:rsidR="00545E1A" w:rsidRPr="00803BB7" w14:paraId="5680D924" w14:textId="77777777" w:rsidTr="00545E1A">
        <w:trPr>
          <w:trHeight w:val="660"/>
        </w:trPr>
        <w:tc>
          <w:tcPr>
            <w:tcW w:w="4080" w:type="dxa"/>
            <w:tcBorders>
              <w:top w:val="nil"/>
              <w:left w:val="single" w:sz="4" w:space="0" w:color="auto"/>
              <w:bottom w:val="nil"/>
              <w:right w:val="single" w:sz="4" w:space="0" w:color="auto"/>
            </w:tcBorders>
            <w:shd w:val="clear" w:color="000000" w:fill="DCE6F1"/>
            <w:noWrap/>
            <w:vAlign w:val="bottom"/>
            <w:hideMark/>
          </w:tcPr>
          <w:p w14:paraId="2CECD9DD" w14:textId="39B526F1" w:rsidR="00545E1A" w:rsidRPr="00803BB7" w:rsidRDefault="00545E1A" w:rsidP="00545E1A">
            <w:pPr>
              <w:rPr>
                <w:rFonts w:ascii="Calibri" w:eastAsia="Times New Roman" w:hAnsi="Calibri" w:cs="Times New Roman"/>
                <w:color w:val="000000"/>
                <w:szCs w:val="22"/>
                <w:lang w:val="it-IT"/>
              </w:rPr>
            </w:pPr>
            <w:r w:rsidRPr="00803BB7">
              <w:rPr>
                <w:rFonts w:ascii="Calibri" w:eastAsia="Times New Roman" w:hAnsi="Calibri" w:cs="Times New Roman"/>
                <w:color w:val="000000"/>
                <w:szCs w:val="22"/>
                <w:lang w:val="it-IT"/>
              </w:rPr>
              <w:t xml:space="preserve">COFINANCEMENT AT </w:t>
            </w:r>
            <w:r w:rsidR="00CD7DC8" w:rsidRPr="00803BB7">
              <w:rPr>
                <w:rFonts w:ascii="Calibri" w:eastAsia="Times New Roman" w:hAnsi="Calibri" w:cs="Times New Roman"/>
                <w:color w:val="000000"/>
                <w:szCs w:val="22"/>
                <w:lang w:val="it-IT"/>
              </w:rPr>
              <w:t>(10%)</w:t>
            </w:r>
          </w:p>
        </w:tc>
        <w:tc>
          <w:tcPr>
            <w:tcW w:w="1760" w:type="dxa"/>
            <w:tcBorders>
              <w:top w:val="nil"/>
              <w:left w:val="nil"/>
              <w:bottom w:val="nil"/>
              <w:right w:val="single" w:sz="4" w:space="0" w:color="auto"/>
            </w:tcBorders>
            <w:shd w:val="clear" w:color="000000" w:fill="DCE6F1"/>
            <w:noWrap/>
            <w:vAlign w:val="bottom"/>
            <w:hideMark/>
          </w:tcPr>
          <w:p w14:paraId="156ECB7B" w14:textId="65181C87" w:rsidR="00545E1A" w:rsidRPr="00803BB7" w:rsidRDefault="00E62376" w:rsidP="00545E1A">
            <w:pPr>
              <w:jc w:val="right"/>
              <w:rPr>
                <w:rFonts w:ascii="Calibri" w:eastAsia="Times New Roman" w:hAnsi="Calibri" w:cs="Times New Roman"/>
                <w:color w:val="000000"/>
                <w:szCs w:val="22"/>
                <w:lang w:val="it-IT"/>
              </w:rPr>
            </w:pPr>
            <w:r w:rsidRPr="00803BB7">
              <w:rPr>
                <w:rFonts w:ascii="Calibri" w:eastAsia="Times New Roman" w:hAnsi="Calibri" w:cs="Times New Roman"/>
                <w:color w:val="000000"/>
                <w:szCs w:val="22"/>
                <w:lang w:val="it-IT"/>
              </w:rPr>
              <w:t>€</w:t>
            </w:r>
            <w:r w:rsidR="00545E1A" w:rsidRPr="00803BB7">
              <w:rPr>
                <w:rFonts w:ascii="Calibri" w:eastAsia="Times New Roman" w:hAnsi="Calibri" w:cs="Times New Roman"/>
                <w:color w:val="000000"/>
                <w:szCs w:val="22"/>
                <w:lang w:val="it-IT"/>
              </w:rPr>
              <w:t xml:space="preserve"> 323.408,34   </w:t>
            </w:r>
          </w:p>
        </w:tc>
      </w:tr>
      <w:tr w:rsidR="00545E1A" w:rsidRPr="00803BB7" w14:paraId="567F23B4" w14:textId="77777777" w:rsidTr="00545E1A">
        <w:trPr>
          <w:trHeight w:val="900"/>
        </w:trPr>
        <w:tc>
          <w:tcPr>
            <w:tcW w:w="4080" w:type="dxa"/>
            <w:tcBorders>
              <w:top w:val="nil"/>
              <w:left w:val="single" w:sz="4" w:space="0" w:color="auto"/>
              <w:bottom w:val="nil"/>
              <w:right w:val="single" w:sz="4" w:space="0" w:color="auto"/>
            </w:tcBorders>
            <w:shd w:val="clear" w:color="auto" w:fill="auto"/>
            <w:noWrap/>
            <w:vAlign w:val="bottom"/>
            <w:hideMark/>
          </w:tcPr>
          <w:p w14:paraId="28172168" w14:textId="77777777" w:rsidR="00545E1A" w:rsidRPr="00803BB7" w:rsidRDefault="00545E1A" w:rsidP="00545E1A">
            <w:pPr>
              <w:rPr>
                <w:rFonts w:ascii="Calibri" w:eastAsia="Times New Roman" w:hAnsi="Calibri" w:cs="Times New Roman"/>
                <w:color w:val="000000"/>
                <w:szCs w:val="22"/>
                <w:lang w:val="it-IT"/>
              </w:rPr>
            </w:pPr>
            <w:r w:rsidRPr="00803BB7">
              <w:rPr>
                <w:rFonts w:ascii="Calibri" w:eastAsia="Times New Roman" w:hAnsi="Calibri" w:cs="Times New Roman"/>
                <w:color w:val="000000"/>
                <w:szCs w:val="22"/>
                <w:lang w:val="it-IT"/>
              </w:rPr>
              <w:t>TOTAL PROJETS</w:t>
            </w:r>
          </w:p>
        </w:tc>
        <w:tc>
          <w:tcPr>
            <w:tcW w:w="1760" w:type="dxa"/>
            <w:tcBorders>
              <w:top w:val="nil"/>
              <w:left w:val="nil"/>
              <w:bottom w:val="nil"/>
              <w:right w:val="single" w:sz="4" w:space="0" w:color="auto"/>
            </w:tcBorders>
            <w:shd w:val="clear" w:color="auto" w:fill="auto"/>
            <w:noWrap/>
            <w:vAlign w:val="bottom"/>
            <w:hideMark/>
          </w:tcPr>
          <w:p w14:paraId="1A6958C4" w14:textId="690B4BD2" w:rsidR="00545E1A" w:rsidRPr="00803BB7" w:rsidRDefault="00E62376" w:rsidP="00545E1A">
            <w:pPr>
              <w:jc w:val="right"/>
              <w:rPr>
                <w:rFonts w:ascii="Calibri" w:eastAsia="Times New Roman" w:hAnsi="Calibri" w:cs="Times New Roman"/>
                <w:color w:val="000000"/>
                <w:szCs w:val="22"/>
                <w:lang w:val="it-IT"/>
              </w:rPr>
            </w:pPr>
            <w:r w:rsidRPr="00803BB7">
              <w:rPr>
                <w:rFonts w:ascii="Calibri" w:eastAsia="Times New Roman" w:hAnsi="Calibri" w:cs="Times New Roman"/>
                <w:color w:val="000000"/>
                <w:szCs w:val="22"/>
                <w:lang w:val="it-IT"/>
              </w:rPr>
              <w:t>€</w:t>
            </w:r>
            <w:r w:rsidR="00545E1A" w:rsidRPr="00803BB7">
              <w:rPr>
                <w:rFonts w:ascii="Calibri" w:eastAsia="Times New Roman" w:hAnsi="Calibri" w:cs="Times New Roman"/>
                <w:color w:val="000000"/>
                <w:szCs w:val="22"/>
                <w:lang w:val="it-IT"/>
              </w:rPr>
              <w:t xml:space="preserve"> 32.340.830,77   </w:t>
            </w:r>
          </w:p>
        </w:tc>
      </w:tr>
      <w:tr w:rsidR="00545E1A" w:rsidRPr="00803BB7" w14:paraId="09FB04BA" w14:textId="77777777" w:rsidTr="00545E1A">
        <w:trPr>
          <w:trHeight w:val="600"/>
        </w:trPr>
        <w:tc>
          <w:tcPr>
            <w:tcW w:w="4080" w:type="dxa"/>
            <w:tcBorders>
              <w:top w:val="nil"/>
              <w:left w:val="single" w:sz="4" w:space="0" w:color="auto"/>
              <w:bottom w:val="nil"/>
              <w:right w:val="single" w:sz="4" w:space="0" w:color="auto"/>
            </w:tcBorders>
            <w:shd w:val="clear" w:color="auto" w:fill="auto"/>
            <w:noWrap/>
            <w:vAlign w:val="bottom"/>
            <w:hideMark/>
          </w:tcPr>
          <w:p w14:paraId="66899BB0" w14:textId="77777777" w:rsidR="00545E1A" w:rsidRPr="00803BB7" w:rsidRDefault="00545E1A" w:rsidP="00545E1A">
            <w:pPr>
              <w:rPr>
                <w:rFonts w:ascii="Calibri" w:eastAsia="Times New Roman" w:hAnsi="Calibri" w:cs="Times New Roman"/>
                <w:color w:val="000000"/>
                <w:szCs w:val="22"/>
                <w:lang w:val="it-IT"/>
              </w:rPr>
            </w:pPr>
            <w:r w:rsidRPr="00803BB7">
              <w:rPr>
                <w:rFonts w:ascii="Calibri" w:eastAsia="Times New Roman" w:hAnsi="Calibri" w:cs="Times New Roman"/>
                <w:color w:val="000000"/>
                <w:szCs w:val="22"/>
                <w:lang w:val="it-IT"/>
              </w:rPr>
              <w:t xml:space="preserve">TOTAL AT </w:t>
            </w:r>
          </w:p>
        </w:tc>
        <w:tc>
          <w:tcPr>
            <w:tcW w:w="1760" w:type="dxa"/>
            <w:tcBorders>
              <w:top w:val="nil"/>
              <w:left w:val="nil"/>
              <w:bottom w:val="nil"/>
              <w:right w:val="single" w:sz="4" w:space="0" w:color="auto"/>
            </w:tcBorders>
            <w:shd w:val="clear" w:color="auto" w:fill="auto"/>
            <w:noWrap/>
            <w:vAlign w:val="bottom"/>
            <w:hideMark/>
          </w:tcPr>
          <w:p w14:paraId="48268CF9" w14:textId="71689CE4" w:rsidR="00545E1A" w:rsidRPr="00803BB7" w:rsidRDefault="00E62376" w:rsidP="00545E1A">
            <w:pPr>
              <w:jc w:val="right"/>
              <w:rPr>
                <w:rFonts w:ascii="Calibri" w:eastAsia="Times New Roman" w:hAnsi="Calibri" w:cs="Times New Roman"/>
                <w:color w:val="000000"/>
                <w:szCs w:val="22"/>
                <w:lang w:val="it-IT"/>
              </w:rPr>
            </w:pPr>
            <w:r w:rsidRPr="00803BB7">
              <w:rPr>
                <w:rFonts w:ascii="Calibri" w:eastAsia="Times New Roman" w:hAnsi="Calibri" w:cs="Times New Roman"/>
                <w:color w:val="000000"/>
                <w:szCs w:val="22"/>
                <w:lang w:val="it-IT"/>
              </w:rPr>
              <w:t>€</w:t>
            </w:r>
            <w:r w:rsidR="00545E1A" w:rsidRPr="00803BB7">
              <w:rPr>
                <w:rFonts w:ascii="Calibri" w:eastAsia="Times New Roman" w:hAnsi="Calibri" w:cs="Times New Roman"/>
                <w:color w:val="000000"/>
                <w:szCs w:val="22"/>
                <w:lang w:val="it-IT"/>
              </w:rPr>
              <w:t xml:space="preserve"> 3.557.491,74   </w:t>
            </w:r>
          </w:p>
        </w:tc>
      </w:tr>
      <w:tr w:rsidR="00545E1A" w:rsidRPr="00803BB7" w14:paraId="206126D4" w14:textId="77777777" w:rsidTr="00545E1A">
        <w:trPr>
          <w:trHeight w:val="620"/>
        </w:trPr>
        <w:tc>
          <w:tcPr>
            <w:tcW w:w="4080" w:type="dxa"/>
            <w:tcBorders>
              <w:top w:val="nil"/>
              <w:left w:val="single" w:sz="4" w:space="0" w:color="auto"/>
              <w:bottom w:val="single" w:sz="4" w:space="0" w:color="auto"/>
              <w:right w:val="single" w:sz="4" w:space="0" w:color="auto"/>
            </w:tcBorders>
            <w:shd w:val="clear" w:color="000000" w:fill="C5D9F1"/>
            <w:noWrap/>
            <w:vAlign w:val="bottom"/>
            <w:hideMark/>
          </w:tcPr>
          <w:p w14:paraId="7DF105FE" w14:textId="77777777" w:rsidR="00545E1A" w:rsidRPr="00803BB7" w:rsidRDefault="00545E1A" w:rsidP="00545E1A">
            <w:pPr>
              <w:rPr>
                <w:rFonts w:ascii="Calibri" w:eastAsia="Times New Roman" w:hAnsi="Calibri" w:cs="Times New Roman"/>
                <w:b/>
                <w:bCs/>
                <w:color w:val="000000"/>
                <w:szCs w:val="22"/>
                <w:lang w:val="it-IT"/>
              </w:rPr>
            </w:pPr>
            <w:r w:rsidRPr="00803BB7">
              <w:rPr>
                <w:rFonts w:ascii="Calibri" w:eastAsia="Times New Roman" w:hAnsi="Calibri" w:cs="Times New Roman"/>
                <w:b/>
                <w:bCs/>
                <w:color w:val="000000"/>
                <w:szCs w:val="22"/>
                <w:lang w:val="it-IT"/>
              </w:rPr>
              <w:t xml:space="preserve">TOTAL PROGRAMME </w:t>
            </w:r>
          </w:p>
        </w:tc>
        <w:tc>
          <w:tcPr>
            <w:tcW w:w="1760" w:type="dxa"/>
            <w:tcBorders>
              <w:top w:val="nil"/>
              <w:left w:val="nil"/>
              <w:bottom w:val="single" w:sz="4" w:space="0" w:color="auto"/>
              <w:right w:val="single" w:sz="4" w:space="0" w:color="auto"/>
            </w:tcBorders>
            <w:shd w:val="clear" w:color="000000" w:fill="C5D9F1"/>
            <w:noWrap/>
            <w:vAlign w:val="bottom"/>
            <w:hideMark/>
          </w:tcPr>
          <w:p w14:paraId="227FEAD8" w14:textId="5557BC5B" w:rsidR="00545E1A" w:rsidRPr="00803BB7" w:rsidRDefault="00545E1A" w:rsidP="00545E1A">
            <w:pPr>
              <w:jc w:val="right"/>
              <w:rPr>
                <w:rFonts w:ascii="Calibri" w:eastAsia="Times New Roman" w:hAnsi="Calibri" w:cs="Times New Roman"/>
                <w:b/>
                <w:bCs/>
                <w:color w:val="000000"/>
                <w:szCs w:val="22"/>
                <w:lang w:val="it-IT"/>
              </w:rPr>
            </w:pPr>
            <w:r w:rsidRPr="00803BB7">
              <w:rPr>
                <w:rFonts w:ascii="Calibri" w:eastAsia="Times New Roman" w:hAnsi="Calibri" w:cs="Times New Roman"/>
                <w:b/>
                <w:bCs/>
                <w:color w:val="000000"/>
                <w:szCs w:val="22"/>
                <w:lang w:val="it-IT"/>
              </w:rPr>
              <w:t xml:space="preserve"> </w:t>
            </w:r>
            <w:r w:rsidR="00E62376" w:rsidRPr="00803BB7">
              <w:rPr>
                <w:rFonts w:ascii="Calibri" w:eastAsia="Times New Roman" w:hAnsi="Calibri" w:cs="Times New Roman"/>
                <w:color w:val="000000"/>
                <w:szCs w:val="22"/>
                <w:lang w:val="it-IT"/>
              </w:rPr>
              <w:t>€</w:t>
            </w:r>
            <w:r w:rsidRPr="00803BB7">
              <w:rPr>
                <w:rFonts w:ascii="Calibri" w:eastAsia="Times New Roman" w:hAnsi="Calibri" w:cs="Times New Roman"/>
                <w:b/>
                <w:bCs/>
                <w:color w:val="000000"/>
                <w:szCs w:val="22"/>
                <w:lang w:val="it-IT"/>
              </w:rPr>
              <w:t xml:space="preserve">35.898.322,51   </w:t>
            </w:r>
          </w:p>
        </w:tc>
      </w:tr>
    </w:tbl>
    <w:p w14:paraId="1A124D8F" w14:textId="77777777" w:rsidR="00421EA8" w:rsidRDefault="00421EA8" w:rsidP="006C1C9B">
      <w:pPr>
        <w:jc w:val="both"/>
        <w:rPr>
          <w:rFonts w:eastAsia="Times New Roman" w:cs="Times New Roman"/>
          <w:szCs w:val="22"/>
        </w:rPr>
      </w:pPr>
    </w:p>
    <w:p w14:paraId="13E1B0A7" w14:textId="05235706" w:rsidR="00A25B75" w:rsidRPr="00590069" w:rsidRDefault="00545E1A" w:rsidP="006C1C9B">
      <w:pPr>
        <w:jc w:val="both"/>
        <w:rPr>
          <w:rFonts w:cs="Lucida Grande"/>
          <w:color w:val="000000"/>
          <w:sz w:val="18"/>
          <w:szCs w:val="18"/>
        </w:rPr>
      </w:pPr>
      <w:r w:rsidRPr="00590069">
        <w:rPr>
          <w:rFonts w:eastAsia="Times New Roman" w:cs="Times New Roman"/>
          <w:sz w:val="18"/>
          <w:szCs w:val="18"/>
        </w:rPr>
        <w:t>(*)</w:t>
      </w:r>
      <w:r w:rsidRPr="00590069">
        <w:rPr>
          <w:rFonts w:cs="Lucida Grande"/>
          <w:color w:val="000000"/>
          <w:sz w:val="18"/>
          <w:szCs w:val="18"/>
        </w:rPr>
        <w:t>Art. 27.3 b) _REG CTE 2021/1059)</w:t>
      </w:r>
    </w:p>
    <w:p w14:paraId="2FF00C0F" w14:textId="77777777" w:rsidR="00CD7DC8" w:rsidRPr="00545E1A" w:rsidRDefault="00CD7DC8" w:rsidP="006C1C9B">
      <w:pPr>
        <w:jc w:val="both"/>
        <w:rPr>
          <w:rFonts w:eastAsia="Times New Roman" w:cs="Times New Roman"/>
          <w:szCs w:val="22"/>
        </w:rPr>
      </w:pPr>
    </w:p>
    <w:p w14:paraId="3961563D" w14:textId="36C3D146" w:rsidR="006C1C9B" w:rsidRDefault="006C1C9B" w:rsidP="006C1C9B">
      <w:pPr>
        <w:jc w:val="both"/>
        <w:rPr>
          <w:rFonts w:eastAsia="Times New Roman" w:cs="Times New Roman"/>
          <w:szCs w:val="22"/>
        </w:rPr>
      </w:pPr>
    </w:p>
    <w:p w14:paraId="109CCB13" w14:textId="77777777" w:rsidR="001461FF" w:rsidRDefault="001461FF" w:rsidP="006C1C9B">
      <w:pPr>
        <w:jc w:val="both"/>
        <w:rPr>
          <w:rFonts w:eastAsia="Times New Roman" w:cs="Times New Roman"/>
          <w:szCs w:val="22"/>
        </w:rPr>
      </w:pPr>
    </w:p>
    <w:p w14:paraId="7AB97A96" w14:textId="77777777" w:rsidR="005229C4" w:rsidRDefault="005229C4" w:rsidP="006C1C9B">
      <w:pPr>
        <w:jc w:val="both"/>
        <w:rPr>
          <w:rFonts w:eastAsia="Times New Roman" w:cs="Times New Roman"/>
          <w:szCs w:val="22"/>
        </w:rPr>
      </w:pPr>
    </w:p>
    <w:p w14:paraId="38A0B65E" w14:textId="77777777" w:rsidR="005229C4" w:rsidRDefault="005229C4" w:rsidP="006C1C9B">
      <w:pPr>
        <w:jc w:val="both"/>
        <w:rPr>
          <w:rFonts w:eastAsia="Times New Roman" w:cs="Times New Roman"/>
          <w:szCs w:val="22"/>
        </w:rPr>
      </w:pPr>
    </w:p>
    <w:p w14:paraId="088100F4" w14:textId="77777777" w:rsidR="005229C4" w:rsidRDefault="005229C4" w:rsidP="006C1C9B">
      <w:pPr>
        <w:jc w:val="both"/>
        <w:rPr>
          <w:rFonts w:eastAsia="Times New Roman" w:cs="Times New Roman"/>
          <w:szCs w:val="22"/>
        </w:rPr>
      </w:pPr>
    </w:p>
    <w:p w14:paraId="051237F9" w14:textId="77777777" w:rsidR="001461FF" w:rsidRPr="006C1C9B" w:rsidRDefault="001461FF" w:rsidP="006C1C9B">
      <w:pPr>
        <w:jc w:val="both"/>
        <w:rPr>
          <w:rFonts w:eastAsia="Times New Roman" w:cs="Times New Roman"/>
          <w:szCs w:val="22"/>
        </w:rPr>
      </w:pPr>
    </w:p>
    <w:p w14:paraId="5745C108" w14:textId="53405BD6" w:rsidR="004C51EE" w:rsidRPr="00F07A9B" w:rsidRDefault="001461FF" w:rsidP="000C0CCB">
      <w:pPr>
        <w:jc w:val="both"/>
        <w:rPr>
          <w:rFonts w:eastAsia="Times New Roman" w:cs="Times New Roman"/>
          <w:sz w:val="18"/>
          <w:szCs w:val="18"/>
        </w:rPr>
      </w:pPr>
      <w:r w:rsidRPr="00F07A9B">
        <w:rPr>
          <w:rFonts w:eastAsia="Times New Roman" w:cs="Times New Roman"/>
          <w:sz w:val="18"/>
          <w:szCs w:val="18"/>
        </w:rPr>
        <w:t xml:space="preserve">PLAN FINANCIER INDICATIF </w:t>
      </w:r>
    </w:p>
    <w:p w14:paraId="5E66F07D" w14:textId="77777777" w:rsidR="001461FF" w:rsidRDefault="001461FF" w:rsidP="000C0CCB">
      <w:pPr>
        <w:jc w:val="both"/>
        <w:rPr>
          <w:rFonts w:eastAsia="Times New Roman" w:cs="Times New Roman"/>
          <w:szCs w:val="22"/>
        </w:rPr>
      </w:pPr>
    </w:p>
    <w:p w14:paraId="56141924" w14:textId="77777777" w:rsidR="004C51EE" w:rsidRDefault="004C51EE" w:rsidP="000C0CCB">
      <w:pPr>
        <w:jc w:val="both"/>
        <w:rPr>
          <w:rFonts w:eastAsia="Times New Roman" w:cs="Times New Roman"/>
          <w:szCs w:val="22"/>
          <w:lang w:val="it-IT"/>
        </w:rPr>
      </w:pPr>
    </w:p>
    <w:p w14:paraId="00177A96" w14:textId="23E9B6B2" w:rsidR="000C0CCB" w:rsidRDefault="00194B11" w:rsidP="000C0CCB">
      <w:pPr>
        <w:jc w:val="both"/>
        <w:rPr>
          <w:rFonts w:eastAsia="Times New Roman" w:cs="Times New Roman"/>
          <w:szCs w:val="22"/>
          <w:lang w:val="it-IT"/>
        </w:rPr>
      </w:pPr>
      <w:r w:rsidRPr="002159AB">
        <w:rPr>
          <w:noProof/>
          <w:lang w:val="it-IT"/>
        </w:rPr>
        <w:drawing>
          <wp:inline distT="0" distB="0" distL="0" distR="0" wp14:anchorId="586B262A" wp14:editId="054389B3">
            <wp:extent cx="6116205" cy="4333993"/>
            <wp:effectExtent l="0" t="0" r="5715" b="9525"/>
            <wp:docPr id="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6320" cy="4334074"/>
                    </a:xfrm>
                    <a:prstGeom prst="rect">
                      <a:avLst/>
                    </a:prstGeom>
                    <a:noFill/>
                    <a:ln>
                      <a:noFill/>
                    </a:ln>
                  </pic:spPr>
                </pic:pic>
              </a:graphicData>
            </a:graphic>
          </wp:inline>
        </w:drawing>
      </w:r>
    </w:p>
    <w:p w14:paraId="1FC68358" w14:textId="77777777" w:rsidR="000C0CCB" w:rsidRPr="000C0CCB" w:rsidRDefault="000C0CCB" w:rsidP="000C0CCB">
      <w:pPr>
        <w:jc w:val="both"/>
        <w:rPr>
          <w:rFonts w:eastAsia="Times New Roman" w:cs="Times New Roman"/>
          <w:szCs w:val="22"/>
          <w:lang w:val="it-IT"/>
        </w:rPr>
      </w:pPr>
    </w:p>
    <w:p w14:paraId="2D2A27DD" w14:textId="1C27CF7F" w:rsidR="004F08A5" w:rsidRDefault="004F08A5" w:rsidP="00C814EB">
      <w:pPr>
        <w:jc w:val="both"/>
        <w:rPr>
          <w:rFonts w:eastAsia="Times New Roman" w:cs="Times New Roman"/>
          <w:sz w:val="20"/>
          <w:szCs w:val="20"/>
        </w:rPr>
      </w:pPr>
    </w:p>
    <w:p w14:paraId="2F6F2651" w14:textId="77777777" w:rsidR="008E773F" w:rsidRPr="008E773F" w:rsidRDefault="008E773F" w:rsidP="004C51EE">
      <w:pPr>
        <w:ind w:left="360"/>
      </w:pPr>
    </w:p>
    <w:p w14:paraId="561DB9E1" w14:textId="77777777" w:rsidR="002755D5" w:rsidRPr="008E773F" w:rsidRDefault="002755D5" w:rsidP="008E773F"/>
    <w:p w14:paraId="4D70DF61" w14:textId="7BD9F47C" w:rsidR="001461FF" w:rsidRDefault="001461FF">
      <w:pPr>
        <w:rPr>
          <w:color w:val="008000"/>
          <w:sz w:val="44"/>
          <w:szCs w:val="44"/>
        </w:rPr>
      </w:pPr>
      <w:r>
        <w:rPr>
          <w:color w:val="008000"/>
          <w:sz w:val="44"/>
          <w:szCs w:val="44"/>
        </w:rPr>
        <w:br w:type="page"/>
      </w:r>
    </w:p>
    <w:p w14:paraId="2D468BB4" w14:textId="5253A47A" w:rsidR="00803BB7" w:rsidRDefault="00803BB7" w:rsidP="001461FF">
      <w:pPr>
        <w:pStyle w:val="Titolo1"/>
        <w:numPr>
          <w:ilvl w:val="0"/>
          <w:numId w:val="4"/>
        </w:numPr>
        <w:rPr>
          <w:sz w:val="24"/>
          <w:szCs w:val="24"/>
        </w:rPr>
      </w:pPr>
      <w:bookmarkStart w:id="11" w:name="_Toc506480685"/>
      <w:bookmarkStart w:id="12" w:name="_Toc506481160"/>
      <w:bookmarkStart w:id="13" w:name="_Toc506481182"/>
      <w:bookmarkStart w:id="14" w:name="_Toc506481281"/>
      <w:bookmarkStart w:id="15" w:name="_Toc507758746"/>
      <w:r>
        <w:rPr>
          <w:sz w:val="24"/>
          <w:szCs w:val="24"/>
        </w:rPr>
        <w:lastRenderedPageBreak/>
        <w:t>LES TYPOLOGIES D’APPEL</w:t>
      </w:r>
      <w:r w:rsidR="00036D1E">
        <w:rPr>
          <w:sz w:val="24"/>
          <w:szCs w:val="24"/>
        </w:rPr>
        <w:t>S</w:t>
      </w:r>
      <w:r>
        <w:rPr>
          <w:sz w:val="24"/>
          <w:szCs w:val="24"/>
        </w:rPr>
        <w:t xml:space="preserve"> </w:t>
      </w:r>
      <w:bookmarkEnd w:id="11"/>
      <w:bookmarkEnd w:id="12"/>
      <w:bookmarkEnd w:id="13"/>
      <w:bookmarkEnd w:id="14"/>
      <w:r w:rsidR="00880622">
        <w:rPr>
          <w:sz w:val="24"/>
          <w:szCs w:val="24"/>
        </w:rPr>
        <w:t xml:space="preserve">À </w:t>
      </w:r>
      <w:r w:rsidR="00137C23">
        <w:rPr>
          <w:sz w:val="24"/>
          <w:szCs w:val="24"/>
        </w:rPr>
        <w:t>PROJETS</w:t>
      </w:r>
      <w:bookmarkEnd w:id="15"/>
    </w:p>
    <w:p w14:paraId="596B722E" w14:textId="77777777" w:rsidR="001C2D79" w:rsidRDefault="001C2D79" w:rsidP="009A78FC">
      <w:pPr>
        <w:jc w:val="both"/>
      </w:pPr>
    </w:p>
    <w:p w14:paraId="0A08319F" w14:textId="530BC1A1" w:rsidR="001C2D79" w:rsidRDefault="009E6CB8" w:rsidP="009A78FC">
      <w:pPr>
        <w:jc w:val="both"/>
      </w:pPr>
      <w:r>
        <w:t>Les typologies d’</w:t>
      </w:r>
      <w:r w:rsidR="004C4B79">
        <w:t xml:space="preserve">appels </w:t>
      </w:r>
      <w:r w:rsidR="00880622">
        <w:t>à</w:t>
      </w:r>
      <w:r w:rsidR="00F65E63">
        <w:t xml:space="preserve"> </w:t>
      </w:r>
      <w:r w:rsidR="00137C23">
        <w:t xml:space="preserve">projets </w:t>
      </w:r>
      <w:r w:rsidR="00803BB7">
        <w:t>proposés</w:t>
      </w:r>
      <w:r w:rsidR="004C4B79">
        <w:t xml:space="preserve"> </w:t>
      </w:r>
      <w:r>
        <w:t>prennent</w:t>
      </w:r>
      <w:r w:rsidR="004C4B79">
        <w:t xml:space="preserve"> en compte le contexte </w:t>
      </w:r>
      <w:r w:rsidR="00590069">
        <w:t>règlementaire</w:t>
      </w:r>
      <w:r w:rsidR="004C4B79">
        <w:rPr>
          <w:rStyle w:val="Rimandonotaapidipagina"/>
        </w:rPr>
        <w:footnoteReference w:id="4"/>
      </w:r>
      <w:r w:rsidR="00803BB7">
        <w:t xml:space="preserve"> et</w:t>
      </w:r>
      <w:r>
        <w:t xml:space="preserve"> </w:t>
      </w:r>
      <w:r w:rsidR="00590069">
        <w:t>l’aspect de « concentration thématiques</w:t>
      </w:r>
      <w:r w:rsidR="00036D1E">
        <w:t xml:space="preserve"> </w:t>
      </w:r>
      <w:r w:rsidR="00590069">
        <w:t>»</w:t>
      </w:r>
      <w:r w:rsidR="00590069">
        <w:rPr>
          <w:rStyle w:val="Rimandonotaapidipagina"/>
        </w:rPr>
        <w:footnoteReference w:id="5"/>
      </w:r>
      <w:r w:rsidR="00590069">
        <w:t xml:space="preserve"> p</w:t>
      </w:r>
      <w:r w:rsidR="009A78FC">
        <w:t>our les allocation</w:t>
      </w:r>
      <w:r w:rsidR="00036D1E">
        <w:t>s</w:t>
      </w:r>
      <w:r w:rsidR="009A78FC">
        <w:t xml:space="preserve"> du programme, comme expliqué dans le chapitre préc</w:t>
      </w:r>
      <w:r w:rsidR="00036D1E">
        <w:t>é</w:t>
      </w:r>
      <w:r w:rsidR="009A78FC">
        <w:t>dent.</w:t>
      </w:r>
      <w:r w:rsidR="00B7689A">
        <w:t xml:space="preserve"> </w:t>
      </w:r>
      <w:r w:rsidR="00B7689A" w:rsidRPr="00B7689A">
        <w:t xml:space="preserve">Un autre élément important est la règle du dégagement, qui </w:t>
      </w:r>
      <w:r w:rsidR="00803BB7">
        <w:t xml:space="preserve">dans la programmation 2021-2027 </w:t>
      </w:r>
      <w:r w:rsidR="00B7689A" w:rsidRPr="00B7689A">
        <w:t>passe de N+5 à N+3</w:t>
      </w:r>
      <w:r w:rsidR="00B7689A">
        <w:rPr>
          <w:rStyle w:val="Rimandonotaapidipagina"/>
        </w:rPr>
        <w:footnoteReference w:id="6"/>
      </w:r>
      <w:r w:rsidR="00B7689A" w:rsidRPr="00B7689A">
        <w:t>.</w:t>
      </w:r>
      <w:r w:rsidR="00B7689A">
        <w:t xml:space="preserve"> </w:t>
      </w:r>
    </w:p>
    <w:p w14:paraId="2E75D328" w14:textId="57124086" w:rsidR="00564FD4" w:rsidRDefault="00564FD4" w:rsidP="009A78FC">
      <w:pPr>
        <w:jc w:val="both"/>
      </w:pPr>
      <w:r w:rsidRPr="00564FD4">
        <w:t xml:space="preserve">Ce </w:t>
      </w:r>
      <w:r w:rsidR="009F58EC" w:rsidRPr="00564FD4">
        <w:t>nouve</w:t>
      </w:r>
      <w:r w:rsidR="009F58EC">
        <w:t xml:space="preserve">l </w:t>
      </w:r>
      <w:r w:rsidRPr="00564FD4">
        <w:t>élément contraint la mise en œuvre du programme à un contexte temporel et programmatique rigide</w:t>
      </w:r>
      <w:r w:rsidR="00803BB7">
        <w:t>. Á partir d’ici</w:t>
      </w:r>
      <w:r w:rsidRPr="00564FD4">
        <w:t xml:space="preserve"> la nécessité de mettre en place des mécanismes d'exécution qui permettront une mise en œuvre efficace et efficiente du programme.</w:t>
      </w:r>
    </w:p>
    <w:p w14:paraId="7B5A88AA" w14:textId="624C97F3" w:rsidR="00E02FFF" w:rsidRDefault="00E02FFF" w:rsidP="009A78FC">
      <w:pPr>
        <w:jc w:val="both"/>
      </w:pPr>
      <w:r>
        <w:t>Dans ce contexte, la typologie</w:t>
      </w:r>
      <w:r w:rsidRPr="00E02FFF">
        <w:t xml:space="preserve"> d'appels à proposer et le calendrier de leur mise en œuvre deviennent des éléments importants. </w:t>
      </w:r>
      <w:r w:rsidR="009F58EC">
        <w:t>Il</w:t>
      </w:r>
      <w:r w:rsidR="009F58EC" w:rsidRPr="00E02FFF">
        <w:t xml:space="preserve">s </w:t>
      </w:r>
      <w:r w:rsidRPr="00E02FFF">
        <w:t>doivent permettre, d'une part, d'atteindre les résultats prévus par les objectifs stratégiques et spécifiques fixés par le programme et, d'autre part, de les a</w:t>
      </w:r>
      <w:r w:rsidR="008E6EC4">
        <w:t xml:space="preserve">tteindre dans les délais prévus, </w:t>
      </w:r>
      <w:r w:rsidR="008E6EC4" w:rsidRPr="008E6EC4">
        <w:t>réduisant ainsi les risques de dégagement.</w:t>
      </w:r>
    </w:p>
    <w:p w14:paraId="28523670" w14:textId="54700DCB" w:rsidR="00AA6FFA" w:rsidRDefault="00AA6FFA" w:rsidP="009A78FC">
      <w:pPr>
        <w:jc w:val="both"/>
      </w:pPr>
      <w:r w:rsidRPr="00AA6FFA">
        <w:t xml:space="preserve">Il est donc important d'analyser les résultats des programmes passés afin d'identifier les forces et les faiblesses des typologies d'appels </w:t>
      </w:r>
      <w:r w:rsidR="008E4CDA">
        <w:t xml:space="preserve">à </w:t>
      </w:r>
      <w:r w:rsidR="00137C23">
        <w:t>projets</w:t>
      </w:r>
      <w:r w:rsidR="008E4CDA">
        <w:t xml:space="preserve"> </w:t>
      </w:r>
      <w:r w:rsidRPr="00AA6FFA">
        <w:t xml:space="preserve">adoptés </w:t>
      </w:r>
      <w:r>
        <w:t>aussi en terme</w:t>
      </w:r>
      <w:r w:rsidRPr="00AA6FFA">
        <w:t xml:space="preserve"> des performances des projets financés dans </w:t>
      </w:r>
      <w:r>
        <w:t>leur contexte</w:t>
      </w:r>
      <w:r w:rsidRPr="00AA6FFA">
        <w:t>.</w:t>
      </w:r>
    </w:p>
    <w:p w14:paraId="73221920" w14:textId="77777777" w:rsidR="00C726F2" w:rsidRDefault="00C726F2" w:rsidP="009A78FC">
      <w:pPr>
        <w:jc w:val="both"/>
      </w:pPr>
    </w:p>
    <w:p w14:paraId="696E7F19" w14:textId="77777777" w:rsidR="004F576A" w:rsidRPr="004F576A" w:rsidRDefault="004F576A" w:rsidP="004F576A"/>
    <w:p w14:paraId="0160F523" w14:textId="4B244FF6" w:rsidR="004F576A" w:rsidRPr="00350AB0" w:rsidRDefault="004F576A" w:rsidP="00900D25">
      <w:pPr>
        <w:pStyle w:val="Titolo2"/>
        <w:numPr>
          <w:ilvl w:val="1"/>
          <w:numId w:val="48"/>
        </w:numPr>
      </w:pPr>
      <w:bookmarkStart w:id="16" w:name="_Toc506480686"/>
      <w:bookmarkStart w:id="17" w:name="_Toc506481161"/>
      <w:bookmarkStart w:id="18" w:name="_Toc506481183"/>
      <w:bookmarkStart w:id="19" w:name="_Toc506481282"/>
      <w:bookmarkStart w:id="20" w:name="_Toc507758747"/>
      <w:r w:rsidRPr="00350AB0">
        <w:t>Le programme IE</w:t>
      </w:r>
      <w:r w:rsidR="0057092B">
        <w:t>P</w:t>
      </w:r>
      <w:r w:rsidRPr="00350AB0">
        <w:t>V Italie Tunisie 2007-2013</w:t>
      </w:r>
      <w:bookmarkEnd w:id="16"/>
      <w:bookmarkEnd w:id="17"/>
      <w:bookmarkEnd w:id="18"/>
      <w:bookmarkEnd w:id="19"/>
      <w:bookmarkEnd w:id="20"/>
    </w:p>
    <w:p w14:paraId="4D333CE7" w14:textId="77777777" w:rsidR="00803BB7" w:rsidRDefault="00803BB7" w:rsidP="009F471F">
      <w:pPr>
        <w:pStyle w:val="Testonotaapidipagina"/>
        <w:jc w:val="both"/>
        <w:rPr>
          <w:rFonts w:cstheme="minorHAnsi"/>
          <w:sz w:val="22"/>
          <w:szCs w:val="22"/>
        </w:rPr>
      </w:pPr>
    </w:p>
    <w:p w14:paraId="2D84B6F8" w14:textId="5CB9CF71" w:rsidR="009F471F" w:rsidRPr="007F54B6" w:rsidRDefault="00776780" w:rsidP="009F471F">
      <w:pPr>
        <w:pStyle w:val="Testonotaapidipagina"/>
        <w:jc w:val="both"/>
        <w:rPr>
          <w:rFonts w:cstheme="minorHAnsi"/>
          <w:sz w:val="22"/>
          <w:szCs w:val="22"/>
        </w:rPr>
      </w:pPr>
      <w:r w:rsidRPr="007F54B6">
        <w:rPr>
          <w:rFonts w:cstheme="minorHAnsi"/>
          <w:sz w:val="22"/>
          <w:szCs w:val="22"/>
        </w:rPr>
        <w:t>Les projets du programme IEVP Italie-Tunisie 2007-2013 ont été déclinés autour de trois priorités</w:t>
      </w:r>
      <w:r w:rsidRPr="007F54B6">
        <w:rPr>
          <w:rFonts w:cstheme="minorHAnsi"/>
          <w:sz w:val="22"/>
          <w:szCs w:val="22"/>
          <w:vertAlign w:val="superscript"/>
        </w:rPr>
        <w:footnoteReference w:id="7"/>
      </w:r>
      <w:r w:rsidRPr="007F54B6">
        <w:rPr>
          <w:rFonts w:cstheme="minorHAnsi"/>
          <w:sz w:val="22"/>
          <w:szCs w:val="22"/>
        </w:rPr>
        <w:t xml:space="preserve">: deux appels à </w:t>
      </w:r>
      <w:r w:rsidR="00137C23">
        <w:rPr>
          <w:rFonts w:cstheme="minorHAnsi"/>
          <w:sz w:val="22"/>
          <w:szCs w:val="22"/>
        </w:rPr>
        <w:t>projets</w:t>
      </w:r>
      <w:r w:rsidRPr="007F54B6">
        <w:rPr>
          <w:rFonts w:cstheme="minorHAnsi"/>
          <w:sz w:val="22"/>
          <w:szCs w:val="22"/>
        </w:rPr>
        <w:t xml:space="preserve"> « standard » (Ier et IIème) et un appel à </w:t>
      </w:r>
      <w:r w:rsidR="00137C23">
        <w:rPr>
          <w:rFonts w:cstheme="minorHAnsi"/>
          <w:sz w:val="22"/>
          <w:szCs w:val="22"/>
        </w:rPr>
        <w:t>projets</w:t>
      </w:r>
      <w:r w:rsidRPr="007F54B6">
        <w:rPr>
          <w:rFonts w:cstheme="minorHAnsi"/>
          <w:sz w:val="22"/>
          <w:szCs w:val="22"/>
        </w:rPr>
        <w:t xml:space="preserve"> « stratégique ». Les 31</w:t>
      </w:r>
      <w:r w:rsidR="00984014">
        <w:rPr>
          <w:rFonts w:cstheme="minorHAnsi"/>
          <w:sz w:val="22"/>
          <w:szCs w:val="22"/>
        </w:rPr>
        <w:t xml:space="preserve"> </w:t>
      </w:r>
      <w:r w:rsidRPr="007F54B6">
        <w:rPr>
          <w:rFonts w:cstheme="minorHAnsi"/>
          <w:sz w:val="22"/>
          <w:szCs w:val="22"/>
        </w:rPr>
        <w:t>projets financés par le programme dans les trois appels ont impliqué 163 partenaires dont 103 italiens et 60 tunisiens</w:t>
      </w:r>
      <w:r w:rsidR="004768A1">
        <w:rPr>
          <w:rFonts w:cstheme="minorHAnsi"/>
          <w:sz w:val="22"/>
          <w:szCs w:val="22"/>
        </w:rPr>
        <w:t xml:space="preserve"> </w:t>
      </w:r>
      <w:r w:rsidR="004768A1" w:rsidRPr="004768A1">
        <w:rPr>
          <w:rFonts w:cstheme="minorHAnsi"/>
          <w:sz w:val="22"/>
          <w:szCs w:val="22"/>
        </w:rPr>
        <w:t>avec une contribution UE total de € 21.009.576,94</w:t>
      </w:r>
      <w:r w:rsidRPr="007F54B6">
        <w:rPr>
          <w:rFonts w:cstheme="minorHAnsi"/>
          <w:sz w:val="22"/>
          <w:szCs w:val="22"/>
        </w:rPr>
        <w:t xml:space="preserve">.  </w:t>
      </w:r>
      <w:r w:rsidR="004768A1" w:rsidRPr="004768A1">
        <w:rPr>
          <w:rFonts w:cstheme="minorHAnsi"/>
          <w:sz w:val="22"/>
          <w:szCs w:val="22"/>
        </w:rPr>
        <w:t xml:space="preserve">La valeur moyenne du cofinancement de l'UE pour les </w:t>
      </w:r>
      <w:r w:rsidR="0057092B">
        <w:rPr>
          <w:rFonts w:cstheme="minorHAnsi"/>
          <w:sz w:val="22"/>
          <w:szCs w:val="22"/>
        </w:rPr>
        <w:t>28 projets financés est environ</w:t>
      </w:r>
      <w:r w:rsidR="004768A1" w:rsidRPr="004768A1">
        <w:rPr>
          <w:rFonts w:cstheme="minorHAnsi"/>
          <w:sz w:val="22"/>
          <w:szCs w:val="22"/>
        </w:rPr>
        <w:t xml:space="preserve"> € </w:t>
      </w:r>
      <w:r w:rsidR="004768A1">
        <w:rPr>
          <w:rFonts w:cstheme="minorHAnsi"/>
          <w:sz w:val="22"/>
          <w:szCs w:val="22"/>
        </w:rPr>
        <w:t>677.728</w:t>
      </w:r>
      <w:r w:rsidR="004768A1" w:rsidRPr="004768A1">
        <w:rPr>
          <w:rFonts w:cstheme="minorHAnsi"/>
          <w:sz w:val="22"/>
          <w:szCs w:val="22"/>
        </w:rPr>
        <w:t xml:space="preserve"> par projets</w:t>
      </w:r>
      <w:r w:rsidR="004768A1">
        <w:rPr>
          <w:rFonts w:cstheme="minorHAnsi"/>
          <w:sz w:val="22"/>
          <w:szCs w:val="22"/>
        </w:rPr>
        <w:t xml:space="preserve">. </w:t>
      </w:r>
      <w:r w:rsidRPr="007F54B6">
        <w:rPr>
          <w:rFonts w:cstheme="minorHAnsi"/>
          <w:sz w:val="22"/>
          <w:szCs w:val="22"/>
        </w:rPr>
        <w:t xml:space="preserve"> La priorité 1, « le développement et l’intégration des filières économiques » </w:t>
      </w:r>
      <w:r w:rsidR="009F471F" w:rsidRPr="007F54B6">
        <w:rPr>
          <w:rFonts w:cstheme="minorHAnsi"/>
          <w:sz w:val="22"/>
          <w:szCs w:val="22"/>
        </w:rPr>
        <w:t xml:space="preserve">a </w:t>
      </w:r>
      <w:r w:rsidRPr="007F54B6">
        <w:rPr>
          <w:rFonts w:cstheme="minorHAnsi"/>
          <w:sz w:val="22"/>
          <w:szCs w:val="22"/>
        </w:rPr>
        <w:t>enregistré le plus grand nombre des projets financés (</w:t>
      </w:r>
      <w:r w:rsidR="009F471F" w:rsidRPr="007F54B6">
        <w:rPr>
          <w:rFonts w:cstheme="minorHAnsi"/>
          <w:sz w:val="22"/>
          <w:szCs w:val="22"/>
        </w:rPr>
        <w:t xml:space="preserve">61% des projets), suivi par la priorité 2 “ Promotion du développement durable » (23% des projets), et la priorité 3 « Coopération culturelle et scientifique, et appui au tissu associatif » (16% des projets).  </w:t>
      </w:r>
    </w:p>
    <w:p w14:paraId="4F266B1E" w14:textId="73968AA7" w:rsidR="00DE2E7E" w:rsidRDefault="00DE2E7E" w:rsidP="009F471F">
      <w:pPr>
        <w:pStyle w:val="Testonotaapidipagina"/>
        <w:jc w:val="both"/>
        <w:rPr>
          <w:rFonts w:cstheme="minorHAnsi"/>
          <w:sz w:val="22"/>
          <w:szCs w:val="22"/>
        </w:rPr>
      </w:pPr>
      <w:r w:rsidRPr="007F54B6">
        <w:rPr>
          <w:rFonts w:cstheme="minorHAnsi"/>
          <w:sz w:val="22"/>
          <w:szCs w:val="22"/>
        </w:rPr>
        <w:t>Le 2</w:t>
      </w:r>
      <w:r w:rsidR="00B33A9A">
        <w:rPr>
          <w:rFonts w:cstheme="minorHAnsi"/>
          <w:sz w:val="22"/>
          <w:szCs w:val="22"/>
        </w:rPr>
        <w:t>°</w:t>
      </w:r>
      <w:r w:rsidRPr="007F54B6">
        <w:rPr>
          <w:rFonts w:cstheme="minorHAnsi"/>
          <w:sz w:val="22"/>
          <w:szCs w:val="22"/>
        </w:rPr>
        <w:t xml:space="preserve"> appel à projets standard et l’appel à projet stratégique se sont déroulé en deux étapes  </w:t>
      </w:r>
      <w:r w:rsidR="00194B11">
        <w:rPr>
          <w:rFonts w:cstheme="minorHAnsi"/>
          <w:sz w:val="22"/>
          <w:szCs w:val="22"/>
        </w:rPr>
        <w:t>(</w:t>
      </w:r>
      <w:r w:rsidRPr="007F54B6">
        <w:rPr>
          <w:rFonts w:cstheme="minorHAnsi"/>
          <w:sz w:val="22"/>
          <w:szCs w:val="22"/>
        </w:rPr>
        <w:t>note succin</w:t>
      </w:r>
      <w:r w:rsidR="0057092B">
        <w:rPr>
          <w:rFonts w:cstheme="minorHAnsi"/>
          <w:sz w:val="22"/>
          <w:szCs w:val="22"/>
        </w:rPr>
        <w:t>c</w:t>
      </w:r>
      <w:r w:rsidRPr="007F54B6">
        <w:rPr>
          <w:rFonts w:cstheme="minorHAnsi"/>
          <w:sz w:val="22"/>
          <w:szCs w:val="22"/>
        </w:rPr>
        <w:t>te et formulaire complet</w:t>
      </w:r>
      <w:r w:rsidR="00194B11">
        <w:rPr>
          <w:rFonts w:cstheme="minorHAnsi"/>
          <w:sz w:val="22"/>
          <w:szCs w:val="22"/>
        </w:rPr>
        <w:t>)</w:t>
      </w:r>
      <w:r w:rsidRPr="007F54B6">
        <w:rPr>
          <w:rFonts w:cstheme="minorHAnsi"/>
          <w:sz w:val="22"/>
          <w:szCs w:val="22"/>
        </w:rPr>
        <w:t>, lorsque le premier appel à projet standard</w:t>
      </w:r>
      <w:r w:rsidR="00194B11">
        <w:rPr>
          <w:rFonts w:cstheme="minorHAnsi"/>
          <w:sz w:val="22"/>
          <w:szCs w:val="22"/>
        </w:rPr>
        <w:t xml:space="preserve"> avec une </w:t>
      </w:r>
      <w:r w:rsidR="004702A9">
        <w:rPr>
          <w:rFonts w:cstheme="minorHAnsi"/>
          <w:sz w:val="22"/>
          <w:szCs w:val="22"/>
        </w:rPr>
        <w:t>procédure</w:t>
      </w:r>
      <w:r w:rsidRPr="007F54B6">
        <w:rPr>
          <w:rFonts w:cstheme="minorHAnsi"/>
          <w:sz w:val="22"/>
          <w:szCs w:val="22"/>
        </w:rPr>
        <w:t xml:space="preserve"> </w:t>
      </w:r>
      <w:r w:rsidR="00194B11">
        <w:rPr>
          <w:rFonts w:cstheme="minorHAnsi"/>
          <w:sz w:val="22"/>
          <w:szCs w:val="22"/>
        </w:rPr>
        <w:t>à</w:t>
      </w:r>
      <w:r w:rsidR="00194B11" w:rsidRPr="007F54B6">
        <w:rPr>
          <w:rFonts w:cstheme="minorHAnsi"/>
          <w:sz w:val="22"/>
          <w:szCs w:val="22"/>
        </w:rPr>
        <w:t xml:space="preserve"> </w:t>
      </w:r>
      <w:r w:rsidRPr="007F54B6">
        <w:rPr>
          <w:rFonts w:cstheme="minorHAnsi"/>
          <w:sz w:val="22"/>
          <w:szCs w:val="22"/>
        </w:rPr>
        <w:t>une seul</w:t>
      </w:r>
      <w:r w:rsidR="00194B11">
        <w:rPr>
          <w:rFonts w:cstheme="minorHAnsi"/>
          <w:sz w:val="22"/>
          <w:szCs w:val="22"/>
        </w:rPr>
        <w:t>e</w:t>
      </w:r>
      <w:r w:rsidRPr="007F54B6">
        <w:rPr>
          <w:rFonts w:cstheme="minorHAnsi"/>
          <w:sz w:val="22"/>
          <w:szCs w:val="22"/>
        </w:rPr>
        <w:t xml:space="preserve"> </w:t>
      </w:r>
      <w:r w:rsidR="006206C7" w:rsidRPr="007F54B6">
        <w:rPr>
          <w:rFonts w:cstheme="minorHAnsi"/>
          <w:sz w:val="22"/>
          <w:szCs w:val="22"/>
        </w:rPr>
        <w:t>étape</w:t>
      </w:r>
      <w:r w:rsidRPr="007F54B6">
        <w:rPr>
          <w:rFonts w:cstheme="minorHAnsi"/>
          <w:sz w:val="22"/>
          <w:szCs w:val="22"/>
        </w:rPr>
        <w:t xml:space="preserve">. </w:t>
      </w:r>
      <w:r w:rsidR="00C45B60">
        <w:rPr>
          <w:rFonts w:cstheme="minorHAnsi"/>
          <w:sz w:val="22"/>
          <w:szCs w:val="22"/>
        </w:rPr>
        <w:t xml:space="preserve"> La duré pour les projets du 1° appel à projets standards </w:t>
      </w:r>
      <w:r w:rsidR="00B33A9A">
        <w:rPr>
          <w:rFonts w:cstheme="minorHAnsi"/>
          <w:sz w:val="22"/>
          <w:szCs w:val="22"/>
        </w:rPr>
        <w:t>était</w:t>
      </w:r>
      <w:r w:rsidR="00C45B60">
        <w:rPr>
          <w:rFonts w:cstheme="minorHAnsi"/>
          <w:sz w:val="22"/>
          <w:szCs w:val="22"/>
        </w:rPr>
        <w:t xml:space="preserve"> de min 12 max 24 mois, le 2° appel min 12 max 18</w:t>
      </w:r>
      <w:r w:rsidR="0057092B">
        <w:rPr>
          <w:rFonts w:cstheme="minorHAnsi"/>
          <w:sz w:val="22"/>
          <w:szCs w:val="22"/>
        </w:rPr>
        <w:t xml:space="preserve"> mois</w:t>
      </w:r>
      <w:r w:rsidR="00C45B60">
        <w:rPr>
          <w:rFonts w:cstheme="minorHAnsi"/>
          <w:sz w:val="22"/>
          <w:szCs w:val="22"/>
        </w:rPr>
        <w:t xml:space="preserve">, les projets </w:t>
      </w:r>
      <w:r w:rsidR="00B33A9A">
        <w:rPr>
          <w:rFonts w:cstheme="minorHAnsi"/>
          <w:sz w:val="22"/>
          <w:szCs w:val="22"/>
        </w:rPr>
        <w:t>stratégiques</w:t>
      </w:r>
      <w:r w:rsidR="00C45B60">
        <w:rPr>
          <w:rFonts w:cstheme="minorHAnsi"/>
          <w:sz w:val="22"/>
          <w:szCs w:val="22"/>
        </w:rPr>
        <w:t xml:space="preserve"> min 24 max 30</w:t>
      </w:r>
      <w:r w:rsidR="0057092B">
        <w:rPr>
          <w:rFonts w:cstheme="minorHAnsi"/>
          <w:sz w:val="22"/>
          <w:szCs w:val="22"/>
        </w:rPr>
        <w:t xml:space="preserve"> mois</w:t>
      </w:r>
      <w:r w:rsidR="00C45B60">
        <w:rPr>
          <w:rFonts w:cstheme="minorHAnsi"/>
          <w:sz w:val="22"/>
          <w:szCs w:val="22"/>
        </w:rPr>
        <w:t>.</w:t>
      </w:r>
    </w:p>
    <w:p w14:paraId="43CB0AE3" w14:textId="5C037861" w:rsidR="007F54B6" w:rsidRDefault="00DE2E7E" w:rsidP="007F54B6">
      <w:pPr>
        <w:pStyle w:val="Testonotaapidipagina"/>
        <w:jc w:val="both"/>
        <w:rPr>
          <w:rFonts w:cstheme="minorHAnsi"/>
          <w:sz w:val="22"/>
          <w:szCs w:val="22"/>
        </w:rPr>
      </w:pPr>
      <w:r w:rsidRPr="007F54B6">
        <w:rPr>
          <w:rFonts w:cstheme="minorHAnsi"/>
          <w:sz w:val="22"/>
          <w:szCs w:val="22"/>
        </w:rPr>
        <w:t>Le</w:t>
      </w:r>
      <w:r w:rsidR="004F4964">
        <w:rPr>
          <w:rFonts w:cstheme="minorHAnsi"/>
          <w:sz w:val="22"/>
          <w:szCs w:val="22"/>
        </w:rPr>
        <w:t>s</w:t>
      </w:r>
      <w:r w:rsidRPr="007F54B6">
        <w:rPr>
          <w:rFonts w:cstheme="minorHAnsi"/>
          <w:sz w:val="22"/>
          <w:szCs w:val="22"/>
        </w:rPr>
        <w:t xml:space="preserve"> rapport</w:t>
      </w:r>
      <w:r w:rsidR="004F4964">
        <w:rPr>
          <w:rFonts w:cstheme="minorHAnsi"/>
          <w:sz w:val="22"/>
          <w:szCs w:val="22"/>
        </w:rPr>
        <w:t>s</w:t>
      </w:r>
      <w:r w:rsidRPr="007F54B6">
        <w:rPr>
          <w:rFonts w:cstheme="minorHAnsi"/>
          <w:sz w:val="22"/>
          <w:szCs w:val="22"/>
        </w:rPr>
        <w:t xml:space="preserve"> d’évaluation</w:t>
      </w:r>
      <w:r w:rsidR="004F4964">
        <w:rPr>
          <w:rStyle w:val="Rimandonotaapidipagina"/>
          <w:rFonts w:cstheme="minorHAnsi"/>
          <w:sz w:val="22"/>
          <w:szCs w:val="22"/>
        </w:rPr>
        <w:footnoteReference w:id="8"/>
      </w:r>
      <w:r w:rsidR="002861C9">
        <w:rPr>
          <w:rFonts w:cstheme="minorHAnsi"/>
          <w:sz w:val="22"/>
          <w:szCs w:val="22"/>
        </w:rPr>
        <w:t xml:space="preserve"> soulignent</w:t>
      </w:r>
      <w:r w:rsidRPr="007F54B6">
        <w:rPr>
          <w:rFonts w:cstheme="minorHAnsi"/>
          <w:sz w:val="22"/>
          <w:szCs w:val="22"/>
        </w:rPr>
        <w:t xml:space="preserve"> la difficulté </w:t>
      </w:r>
      <w:r w:rsidR="002861C9">
        <w:rPr>
          <w:rFonts w:cstheme="minorHAnsi"/>
          <w:sz w:val="22"/>
          <w:szCs w:val="22"/>
        </w:rPr>
        <w:t xml:space="preserve">dans le contexte des projets financés </w:t>
      </w:r>
      <w:r w:rsidRPr="007F54B6">
        <w:rPr>
          <w:rFonts w:cstheme="minorHAnsi"/>
          <w:sz w:val="22"/>
          <w:szCs w:val="22"/>
        </w:rPr>
        <w:t xml:space="preserve">à mettre en </w:t>
      </w:r>
      <w:r w:rsidR="007F54B6" w:rsidRPr="007F54B6">
        <w:rPr>
          <w:rFonts w:cstheme="minorHAnsi"/>
          <w:sz w:val="22"/>
          <w:szCs w:val="22"/>
        </w:rPr>
        <w:t>évidence</w:t>
      </w:r>
      <w:r w:rsidRPr="007F54B6">
        <w:rPr>
          <w:rFonts w:cstheme="minorHAnsi"/>
          <w:sz w:val="22"/>
          <w:szCs w:val="22"/>
        </w:rPr>
        <w:t xml:space="preserve"> la valeur </w:t>
      </w:r>
      <w:r w:rsidR="00677D24">
        <w:rPr>
          <w:rFonts w:cstheme="minorHAnsi"/>
          <w:sz w:val="22"/>
          <w:szCs w:val="22"/>
        </w:rPr>
        <w:t>ajoutée</w:t>
      </w:r>
      <w:r w:rsidRPr="007F54B6">
        <w:rPr>
          <w:rFonts w:cstheme="minorHAnsi"/>
          <w:sz w:val="22"/>
          <w:szCs w:val="22"/>
        </w:rPr>
        <w:t xml:space="preserve"> </w:t>
      </w:r>
      <w:r w:rsidR="00677D24">
        <w:rPr>
          <w:rFonts w:cstheme="minorHAnsi"/>
          <w:sz w:val="22"/>
          <w:szCs w:val="22"/>
        </w:rPr>
        <w:t>par rapport aux projets standards</w:t>
      </w:r>
      <w:r w:rsidR="007F54B6">
        <w:rPr>
          <w:rFonts w:cstheme="minorHAnsi"/>
          <w:sz w:val="22"/>
          <w:szCs w:val="22"/>
        </w:rPr>
        <w:t>. Un</w:t>
      </w:r>
      <w:r w:rsidR="007F54B6" w:rsidRPr="007F54B6">
        <w:rPr>
          <w:rFonts w:cstheme="minorHAnsi"/>
          <w:sz w:val="22"/>
          <w:szCs w:val="22"/>
        </w:rPr>
        <w:t xml:space="preserve"> autre élément </w:t>
      </w:r>
      <w:r w:rsidR="00677D24">
        <w:rPr>
          <w:rFonts w:cstheme="minorHAnsi"/>
          <w:sz w:val="22"/>
          <w:szCs w:val="22"/>
        </w:rPr>
        <w:t>relevé</w:t>
      </w:r>
      <w:r w:rsidR="007F54B6">
        <w:rPr>
          <w:rFonts w:cstheme="minorHAnsi"/>
          <w:sz w:val="22"/>
          <w:szCs w:val="22"/>
        </w:rPr>
        <w:t xml:space="preserve"> </w:t>
      </w:r>
      <w:r w:rsidR="007F54B6" w:rsidRPr="007F54B6">
        <w:rPr>
          <w:rFonts w:cstheme="minorHAnsi"/>
          <w:sz w:val="22"/>
          <w:szCs w:val="22"/>
        </w:rPr>
        <w:t xml:space="preserve">est que </w:t>
      </w:r>
      <w:r w:rsidR="007F54B6" w:rsidRPr="007F54B6">
        <w:rPr>
          <w:sz w:val="22"/>
          <w:szCs w:val="22"/>
        </w:rPr>
        <w:t xml:space="preserve">le calendrier réel </w:t>
      </w:r>
      <w:r w:rsidR="007F54B6">
        <w:rPr>
          <w:sz w:val="22"/>
          <w:szCs w:val="22"/>
        </w:rPr>
        <w:t xml:space="preserve">des projets </w:t>
      </w:r>
      <w:r w:rsidR="007F54B6" w:rsidRPr="007F54B6">
        <w:rPr>
          <w:sz w:val="22"/>
          <w:szCs w:val="22"/>
        </w:rPr>
        <w:t>n</w:t>
      </w:r>
      <w:r w:rsidR="001C4541">
        <w:rPr>
          <w:sz w:val="22"/>
          <w:szCs w:val="22"/>
        </w:rPr>
        <w:t>e</w:t>
      </w:r>
      <w:r w:rsidR="007F54B6" w:rsidRPr="007F54B6">
        <w:rPr>
          <w:sz w:val="22"/>
          <w:szCs w:val="22"/>
        </w:rPr>
        <w:t xml:space="preserve"> correspond</w:t>
      </w:r>
      <w:r w:rsidR="002159AB">
        <w:rPr>
          <w:sz w:val="22"/>
          <w:szCs w:val="22"/>
        </w:rPr>
        <w:t xml:space="preserve"> </w:t>
      </w:r>
      <w:r w:rsidR="001C4541">
        <w:rPr>
          <w:sz w:val="22"/>
          <w:szCs w:val="22"/>
        </w:rPr>
        <w:t>pas</w:t>
      </w:r>
      <w:r w:rsidR="007F54B6" w:rsidRPr="007F54B6">
        <w:rPr>
          <w:sz w:val="22"/>
          <w:szCs w:val="22"/>
        </w:rPr>
        <w:t xml:space="preserve"> aux prévisions faites initialement dans la </w:t>
      </w:r>
      <w:r w:rsidR="00677D24">
        <w:rPr>
          <w:sz w:val="22"/>
          <w:szCs w:val="22"/>
        </w:rPr>
        <w:t>présentation des projets</w:t>
      </w:r>
      <w:r w:rsidR="007F54B6" w:rsidRPr="007F54B6">
        <w:rPr>
          <w:sz w:val="22"/>
          <w:szCs w:val="22"/>
        </w:rPr>
        <w:t xml:space="preserve">. La durée moyenne de l'ensemble des projets considérés dans leur globalité </w:t>
      </w:r>
      <w:r w:rsidR="00677D24">
        <w:rPr>
          <w:sz w:val="22"/>
          <w:szCs w:val="22"/>
        </w:rPr>
        <w:t>a</w:t>
      </w:r>
      <w:r w:rsidR="007F54B6" w:rsidRPr="007F54B6">
        <w:rPr>
          <w:sz w:val="22"/>
          <w:szCs w:val="22"/>
        </w:rPr>
        <w:t xml:space="preserve"> un taux de retard de 70% en plus, la durée moyenne des projets étant de 36 mois contre </w:t>
      </w:r>
      <w:r w:rsidR="001C4541">
        <w:rPr>
          <w:sz w:val="22"/>
          <w:szCs w:val="22"/>
        </w:rPr>
        <w:t xml:space="preserve">les </w:t>
      </w:r>
      <w:r w:rsidR="007F54B6" w:rsidRPr="007F54B6">
        <w:rPr>
          <w:sz w:val="22"/>
          <w:szCs w:val="22"/>
        </w:rPr>
        <w:t>21,4 prévus.</w:t>
      </w:r>
      <w:r w:rsidR="004F4964">
        <w:rPr>
          <w:sz w:val="22"/>
          <w:szCs w:val="22"/>
        </w:rPr>
        <w:t xml:space="preserve"> Un</w:t>
      </w:r>
      <w:r w:rsidR="00B33A9A">
        <w:rPr>
          <w:sz w:val="22"/>
          <w:szCs w:val="22"/>
        </w:rPr>
        <w:t xml:space="preserve"> autre </w:t>
      </w:r>
      <w:r w:rsidR="004F4964">
        <w:rPr>
          <w:sz w:val="22"/>
          <w:szCs w:val="22"/>
        </w:rPr>
        <w:t>élément</w:t>
      </w:r>
      <w:r w:rsidR="00B33A9A">
        <w:rPr>
          <w:sz w:val="22"/>
          <w:szCs w:val="22"/>
        </w:rPr>
        <w:t xml:space="preserve"> est </w:t>
      </w:r>
      <w:r w:rsidR="004F4964">
        <w:rPr>
          <w:sz w:val="22"/>
          <w:szCs w:val="22"/>
        </w:rPr>
        <w:t>constitué</w:t>
      </w:r>
      <w:r w:rsidR="00B33A9A">
        <w:rPr>
          <w:sz w:val="22"/>
          <w:szCs w:val="22"/>
        </w:rPr>
        <w:t xml:space="preserve"> </w:t>
      </w:r>
      <w:r w:rsidR="001C4541">
        <w:rPr>
          <w:sz w:val="22"/>
          <w:szCs w:val="22"/>
        </w:rPr>
        <w:t xml:space="preserve">par </w:t>
      </w:r>
      <w:r w:rsidR="00677D24">
        <w:rPr>
          <w:sz w:val="22"/>
          <w:szCs w:val="22"/>
        </w:rPr>
        <w:t xml:space="preserve">la longue durée de </w:t>
      </w:r>
      <w:r w:rsidR="004F4964">
        <w:rPr>
          <w:rFonts w:cstheme="minorHAnsi"/>
          <w:sz w:val="22"/>
          <w:szCs w:val="22"/>
        </w:rPr>
        <w:t xml:space="preserve">la phase d’évaluation des projets </w:t>
      </w:r>
      <w:r w:rsidR="001C4541">
        <w:rPr>
          <w:rFonts w:cstheme="minorHAnsi"/>
          <w:sz w:val="22"/>
          <w:szCs w:val="22"/>
        </w:rPr>
        <w:t xml:space="preserve">qui </w:t>
      </w:r>
      <w:r w:rsidR="004F4964">
        <w:rPr>
          <w:rFonts w:cstheme="minorHAnsi"/>
          <w:sz w:val="22"/>
          <w:szCs w:val="22"/>
        </w:rPr>
        <w:t>pour le  1° appels à projets standards  a prévu 20 mois du lancement à  l’admission au financement, 13 mois pour le 2° appel à projets standards et 9 mois pour l’appelle stratégique.  </w:t>
      </w:r>
    </w:p>
    <w:p w14:paraId="2ECF0542" w14:textId="77777777" w:rsidR="002159AB" w:rsidRDefault="002159AB" w:rsidP="007F54B6">
      <w:pPr>
        <w:pStyle w:val="Testonotaapidipagina"/>
        <w:jc w:val="both"/>
        <w:rPr>
          <w:sz w:val="22"/>
          <w:szCs w:val="22"/>
        </w:rPr>
      </w:pPr>
    </w:p>
    <w:p w14:paraId="4CAA2B89" w14:textId="1BF4CDD1" w:rsidR="00F42C80" w:rsidRPr="00F07A9B" w:rsidRDefault="00F42C80" w:rsidP="00F42C80">
      <w:pPr>
        <w:jc w:val="both"/>
        <w:rPr>
          <w:rFonts w:eastAsia="Times New Roman" w:cs="Times New Roman"/>
          <w:sz w:val="18"/>
          <w:szCs w:val="18"/>
        </w:rPr>
      </w:pPr>
      <w:r w:rsidRPr="00F07A9B">
        <w:rPr>
          <w:rFonts w:eastAsia="Times New Roman" w:cs="Times New Roman"/>
          <w:sz w:val="18"/>
          <w:szCs w:val="18"/>
        </w:rPr>
        <w:t>PROGRAMME IEVP ITALIE TUNISIE 2007-2013</w:t>
      </w:r>
    </w:p>
    <w:p w14:paraId="21128BEB" w14:textId="77777777" w:rsidR="008A6230" w:rsidRDefault="008A6230" w:rsidP="004F576A">
      <w:pPr>
        <w:rPr>
          <w:i/>
        </w:rPr>
      </w:pPr>
    </w:p>
    <w:tbl>
      <w:tblPr>
        <w:tblStyle w:val="Grigliatabella"/>
        <w:tblW w:w="0" w:type="auto"/>
        <w:tblLook w:val="04A0" w:firstRow="1" w:lastRow="0" w:firstColumn="1" w:lastColumn="0" w:noHBand="0" w:noVBand="1"/>
      </w:tblPr>
      <w:tblGrid>
        <w:gridCol w:w="1954"/>
        <w:gridCol w:w="1954"/>
        <w:gridCol w:w="1954"/>
        <w:gridCol w:w="1955"/>
        <w:gridCol w:w="1955"/>
      </w:tblGrid>
      <w:tr w:rsidR="008A6230" w:rsidRPr="0022087C" w14:paraId="7A2B2E78" w14:textId="77777777" w:rsidTr="003101E8">
        <w:tc>
          <w:tcPr>
            <w:tcW w:w="1954" w:type="dxa"/>
            <w:shd w:val="clear" w:color="auto" w:fill="4F81BD" w:themeFill="accent1"/>
          </w:tcPr>
          <w:p w14:paraId="56AFF0C1" w14:textId="77777777" w:rsidR="008A6230" w:rsidRPr="0022087C" w:rsidRDefault="008A6230" w:rsidP="004F576A">
            <w:pPr>
              <w:rPr>
                <w:i/>
                <w:sz w:val="18"/>
                <w:szCs w:val="18"/>
              </w:rPr>
            </w:pPr>
          </w:p>
        </w:tc>
        <w:tc>
          <w:tcPr>
            <w:tcW w:w="1954" w:type="dxa"/>
            <w:shd w:val="clear" w:color="auto" w:fill="4F81BD" w:themeFill="accent1"/>
            <w:vAlign w:val="center"/>
          </w:tcPr>
          <w:p w14:paraId="3B666353" w14:textId="77777777" w:rsidR="0022087C" w:rsidRPr="0022087C" w:rsidRDefault="0022087C" w:rsidP="004F576A">
            <w:pPr>
              <w:rPr>
                <w:i/>
                <w:color w:val="FFFFFF" w:themeColor="background1"/>
                <w:sz w:val="18"/>
                <w:szCs w:val="18"/>
              </w:rPr>
            </w:pPr>
          </w:p>
          <w:p w14:paraId="32E94E1C" w14:textId="77777777" w:rsidR="008A6230" w:rsidRPr="0022087C" w:rsidRDefault="008A6230" w:rsidP="004F576A">
            <w:pPr>
              <w:rPr>
                <w:i/>
                <w:color w:val="FFFFFF" w:themeColor="background1"/>
                <w:sz w:val="18"/>
                <w:szCs w:val="18"/>
              </w:rPr>
            </w:pPr>
            <w:r w:rsidRPr="0022087C">
              <w:rPr>
                <w:i/>
                <w:color w:val="FFFFFF" w:themeColor="background1"/>
                <w:sz w:val="18"/>
                <w:szCs w:val="18"/>
              </w:rPr>
              <w:t xml:space="preserve">Priorité 1 </w:t>
            </w:r>
          </w:p>
          <w:p w14:paraId="36B3F50E" w14:textId="7BCC977B" w:rsidR="0022087C" w:rsidRPr="0022087C" w:rsidRDefault="0022087C" w:rsidP="004F576A">
            <w:pPr>
              <w:rPr>
                <w:i/>
                <w:color w:val="FFFFFF" w:themeColor="background1"/>
                <w:sz w:val="18"/>
                <w:szCs w:val="18"/>
              </w:rPr>
            </w:pPr>
          </w:p>
        </w:tc>
        <w:tc>
          <w:tcPr>
            <w:tcW w:w="1954" w:type="dxa"/>
            <w:shd w:val="clear" w:color="auto" w:fill="4F81BD" w:themeFill="accent1"/>
            <w:vAlign w:val="center"/>
          </w:tcPr>
          <w:p w14:paraId="30CCE4DE" w14:textId="72DC4EAE" w:rsidR="008A6230" w:rsidRPr="0022087C" w:rsidRDefault="008A6230" w:rsidP="004F576A">
            <w:pPr>
              <w:rPr>
                <w:i/>
                <w:color w:val="FFFFFF" w:themeColor="background1"/>
                <w:sz w:val="18"/>
                <w:szCs w:val="18"/>
              </w:rPr>
            </w:pPr>
            <w:r w:rsidRPr="0022087C">
              <w:rPr>
                <w:i/>
                <w:color w:val="FFFFFF" w:themeColor="background1"/>
                <w:sz w:val="18"/>
                <w:szCs w:val="18"/>
              </w:rPr>
              <w:t xml:space="preserve">Priorité 2 </w:t>
            </w:r>
          </w:p>
        </w:tc>
        <w:tc>
          <w:tcPr>
            <w:tcW w:w="1955" w:type="dxa"/>
            <w:shd w:val="clear" w:color="auto" w:fill="4F81BD" w:themeFill="accent1"/>
            <w:vAlign w:val="center"/>
          </w:tcPr>
          <w:p w14:paraId="3F74D6C4" w14:textId="08C352F0" w:rsidR="008A6230" w:rsidRPr="0022087C" w:rsidRDefault="008A6230" w:rsidP="004F576A">
            <w:pPr>
              <w:rPr>
                <w:i/>
                <w:color w:val="FFFFFF" w:themeColor="background1"/>
                <w:sz w:val="18"/>
                <w:szCs w:val="18"/>
              </w:rPr>
            </w:pPr>
            <w:r w:rsidRPr="0022087C">
              <w:rPr>
                <w:i/>
                <w:color w:val="FFFFFF" w:themeColor="background1"/>
                <w:sz w:val="18"/>
                <w:szCs w:val="18"/>
              </w:rPr>
              <w:t xml:space="preserve">Priorité 3 </w:t>
            </w:r>
          </w:p>
        </w:tc>
        <w:tc>
          <w:tcPr>
            <w:tcW w:w="1955" w:type="dxa"/>
            <w:shd w:val="clear" w:color="auto" w:fill="4F81BD" w:themeFill="accent1"/>
            <w:vAlign w:val="center"/>
          </w:tcPr>
          <w:p w14:paraId="005FE6F0" w14:textId="28A4D7D3" w:rsidR="008A6230" w:rsidRPr="0022087C" w:rsidRDefault="00314167" w:rsidP="004F576A">
            <w:pPr>
              <w:rPr>
                <w:i/>
                <w:color w:val="FFFFFF" w:themeColor="background1"/>
                <w:sz w:val="18"/>
                <w:szCs w:val="18"/>
              </w:rPr>
            </w:pPr>
            <w:r w:rsidRPr="0022087C">
              <w:rPr>
                <w:i/>
                <w:color w:val="FFFFFF" w:themeColor="background1"/>
                <w:sz w:val="18"/>
                <w:szCs w:val="18"/>
              </w:rPr>
              <w:t>Total</w:t>
            </w:r>
          </w:p>
        </w:tc>
      </w:tr>
      <w:tr w:rsidR="008A6230" w:rsidRPr="0022087C" w14:paraId="3606028F" w14:textId="77777777" w:rsidTr="008A6230">
        <w:tc>
          <w:tcPr>
            <w:tcW w:w="1954" w:type="dxa"/>
          </w:tcPr>
          <w:p w14:paraId="65A2B504" w14:textId="3C716861" w:rsidR="008A6230" w:rsidRPr="0022087C" w:rsidRDefault="008A6230" w:rsidP="004F576A">
            <w:pPr>
              <w:rPr>
                <w:sz w:val="18"/>
                <w:szCs w:val="18"/>
              </w:rPr>
            </w:pPr>
            <w:r w:rsidRPr="0022087C">
              <w:rPr>
                <w:sz w:val="18"/>
                <w:szCs w:val="18"/>
              </w:rPr>
              <w:t>Allocation du POC</w:t>
            </w:r>
            <w:r w:rsidR="00314167" w:rsidRPr="0022087C">
              <w:rPr>
                <w:sz w:val="18"/>
                <w:szCs w:val="18"/>
              </w:rPr>
              <w:t xml:space="preserve"> (UE)</w:t>
            </w:r>
          </w:p>
        </w:tc>
        <w:tc>
          <w:tcPr>
            <w:tcW w:w="1954" w:type="dxa"/>
          </w:tcPr>
          <w:p w14:paraId="6D49F430" w14:textId="77777777" w:rsidR="00314167" w:rsidRPr="0022087C" w:rsidRDefault="00314167" w:rsidP="00314167">
            <w:pPr>
              <w:rPr>
                <w:sz w:val="18"/>
                <w:szCs w:val="18"/>
                <w:lang w:val="it-IT"/>
              </w:rPr>
            </w:pPr>
            <w:r w:rsidRPr="0022087C">
              <w:rPr>
                <w:sz w:val="18"/>
                <w:szCs w:val="18"/>
                <w:lang w:val="it-IT"/>
              </w:rPr>
              <w:t xml:space="preserve">14.736.982,65 </w:t>
            </w:r>
          </w:p>
          <w:p w14:paraId="2E07599C" w14:textId="77777777" w:rsidR="008A6230" w:rsidRPr="0022087C" w:rsidRDefault="008A6230" w:rsidP="004F576A">
            <w:pPr>
              <w:rPr>
                <w:sz w:val="18"/>
                <w:szCs w:val="18"/>
              </w:rPr>
            </w:pPr>
          </w:p>
        </w:tc>
        <w:tc>
          <w:tcPr>
            <w:tcW w:w="1954" w:type="dxa"/>
          </w:tcPr>
          <w:p w14:paraId="49D56227" w14:textId="77777777" w:rsidR="00314167" w:rsidRPr="0022087C" w:rsidRDefault="00314167" w:rsidP="00314167">
            <w:pPr>
              <w:rPr>
                <w:sz w:val="18"/>
                <w:szCs w:val="18"/>
                <w:lang w:val="it-IT"/>
              </w:rPr>
            </w:pPr>
            <w:r w:rsidRPr="0022087C">
              <w:rPr>
                <w:sz w:val="18"/>
                <w:szCs w:val="18"/>
                <w:lang w:val="it-IT"/>
              </w:rPr>
              <w:t xml:space="preserve">€ 5.668.070,25 </w:t>
            </w:r>
          </w:p>
          <w:p w14:paraId="6B057283" w14:textId="77777777" w:rsidR="008A6230" w:rsidRPr="0022087C" w:rsidRDefault="008A6230" w:rsidP="004F576A">
            <w:pPr>
              <w:rPr>
                <w:sz w:val="18"/>
                <w:szCs w:val="18"/>
              </w:rPr>
            </w:pPr>
          </w:p>
        </w:tc>
        <w:tc>
          <w:tcPr>
            <w:tcW w:w="1955" w:type="dxa"/>
          </w:tcPr>
          <w:p w14:paraId="10B270FA" w14:textId="77777777" w:rsidR="00314167" w:rsidRPr="0022087C" w:rsidRDefault="00314167" w:rsidP="00314167">
            <w:pPr>
              <w:rPr>
                <w:sz w:val="18"/>
                <w:szCs w:val="18"/>
                <w:lang w:val="it-IT"/>
              </w:rPr>
            </w:pPr>
            <w:r w:rsidRPr="0022087C">
              <w:rPr>
                <w:sz w:val="18"/>
                <w:szCs w:val="18"/>
                <w:lang w:val="it-IT"/>
              </w:rPr>
              <w:t xml:space="preserve">€ 2.267.228,10 </w:t>
            </w:r>
          </w:p>
          <w:p w14:paraId="4B06F84F" w14:textId="77777777" w:rsidR="008A6230" w:rsidRPr="0022087C" w:rsidRDefault="008A6230" w:rsidP="004F576A">
            <w:pPr>
              <w:rPr>
                <w:sz w:val="18"/>
                <w:szCs w:val="18"/>
              </w:rPr>
            </w:pPr>
          </w:p>
        </w:tc>
        <w:tc>
          <w:tcPr>
            <w:tcW w:w="1955" w:type="dxa"/>
          </w:tcPr>
          <w:p w14:paraId="345ECC72" w14:textId="77777777" w:rsidR="00314167" w:rsidRPr="0022087C" w:rsidRDefault="00314167" w:rsidP="00314167">
            <w:pPr>
              <w:rPr>
                <w:sz w:val="18"/>
                <w:szCs w:val="18"/>
                <w:lang w:val="it-IT"/>
              </w:rPr>
            </w:pPr>
            <w:r w:rsidRPr="0022087C">
              <w:rPr>
                <w:sz w:val="18"/>
                <w:szCs w:val="18"/>
                <w:lang w:val="it-IT"/>
              </w:rPr>
              <w:t xml:space="preserve">€ 22.672.281,0 </w:t>
            </w:r>
          </w:p>
          <w:p w14:paraId="6570DE1E" w14:textId="77777777" w:rsidR="008A6230" w:rsidRPr="0022087C" w:rsidRDefault="008A6230" w:rsidP="004F576A">
            <w:pPr>
              <w:rPr>
                <w:sz w:val="18"/>
                <w:szCs w:val="18"/>
              </w:rPr>
            </w:pPr>
          </w:p>
        </w:tc>
      </w:tr>
      <w:tr w:rsidR="00314167" w:rsidRPr="0022087C" w14:paraId="3E0309BD" w14:textId="77777777" w:rsidTr="008A6230">
        <w:tc>
          <w:tcPr>
            <w:tcW w:w="1954" w:type="dxa"/>
          </w:tcPr>
          <w:p w14:paraId="755F9C1F" w14:textId="15997D87" w:rsidR="00314167" w:rsidRPr="0022087C" w:rsidRDefault="00314167" w:rsidP="004F576A">
            <w:pPr>
              <w:rPr>
                <w:sz w:val="18"/>
                <w:szCs w:val="18"/>
              </w:rPr>
            </w:pPr>
            <w:r w:rsidRPr="0022087C">
              <w:rPr>
                <w:sz w:val="18"/>
                <w:szCs w:val="18"/>
              </w:rPr>
              <w:t xml:space="preserve">% allocation </w:t>
            </w:r>
          </w:p>
        </w:tc>
        <w:tc>
          <w:tcPr>
            <w:tcW w:w="1954" w:type="dxa"/>
          </w:tcPr>
          <w:p w14:paraId="6FF5446D" w14:textId="65BE1DE3" w:rsidR="00314167" w:rsidRPr="0022087C" w:rsidRDefault="00314167" w:rsidP="004F576A">
            <w:pPr>
              <w:rPr>
                <w:sz w:val="18"/>
                <w:szCs w:val="18"/>
              </w:rPr>
            </w:pPr>
            <w:r w:rsidRPr="0022087C">
              <w:rPr>
                <w:sz w:val="18"/>
                <w:szCs w:val="18"/>
              </w:rPr>
              <w:t>65%</w:t>
            </w:r>
          </w:p>
        </w:tc>
        <w:tc>
          <w:tcPr>
            <w:tcW w:w="1954" w:type="dxa"/>
          </w:tcPr>
          <w:p w14:paraId="2F4EEA7B" w14:textId="498D86B3" w:rsidR="00314167" w:rsidRPr="0022087C" w:rsidRDefault="00314167" w:rsidP="004F576A">
            <w:pPr>
              <w:rPr>
                <w:sz w:val="18"/>
                <w:szCs w:val="18"/>
              </w:rPr>
            </w:pPr>
            <w:r w:rsidRPr="0022087C">
              <w:rPr>
                <w:sz w:val="18"/>
                <w:szCs w:val="18"/>
              </w:rPr>
              <w:t>25%</w:t>
            </w:r>
          </w:p>
        </w:tc>
        <w:tc>
          <w:tcPr>
            <w:tcW w:w="1955" w:type="dxa"/>
          </w:tcPr>
          <w:p w14:paraId="01864548" w14:textId="557556D2" w:rsidR="00314167" w:rsidRPr="0022087C" w:rsidRDefault="00314167" w:rsidP="004F576A">
            <w:pPr>
              <w:rPr>
                <w:sz w:val="18"/>
                <w:szCs w:val="18"/>
              </w:rPr>
            </w:pPr>
            <w:r w:rsidRPr="0022087C">
              <w:rPr>
                <w:sz w:val="18"/>
                <w:szCs w:val="18"/>
              </w:rPr>
              <w:t>10%</w:t>
            </w:r>
          </w:p>
        </w:tc>
        <w:tc>
          <w:tcPr>
            <w:tcW w:w="1955" w:type="dxa"/>
          </w:tcPr>
          <w:p w14:paraId="171C9168" w14:textId="11908F4F" w:rsidR="00314167" w:rsidRPr="0022087C" w:rsidRDefault="00314167" w:rsidP="004F576A">
            <w:pPr>
              <w:rPr>
                <w:sz w:val="18"/>
                <w:szCs w:val="18"/>
              </w:rPr>
            </w:pPr>
            <w:r w:rsidRPr="0022087C">
              <w:rPr>
                <w:sz w:val="18"/>
                <w:szCs w:val="18"/>
              </w:rPr>
              <w:t>100%</w:t>
            </w:r>
          </w:p>
        </w:tc>
      </w:tr>
      <w:tr w:rsidR="008A6230" w:rsidRPr="0022087C" w14:paraId="4AB5C094" w14:textId="77777777" w:rsidTr="008A6230">
        <w:tc>
          <w:tcPr>
            <w:tcW w:w="1954" w:type="dxa"/>
          </w:tcPr>
          <w:p w14:paraId="1F9D03BD" w14:textId="4E6F9F9A" w:rsidR="008A6230" w:rsidRPr="0022087C" w:rsidRDefault="008A6230" w:rsidP="00137C23">
            <w:pPr>
              <w:rPr>
                <w:sz w:val="18"/>
                <w:szCs w:val="18"/>
              </w:rPr>
            </w:pPr>
            <w:r w:rsidRPr="0022087C">
              <w:rPr>
                <w:sz w:val="18"/>
                <w:szCs w:val="18"/>
              </w:rPr>
              <w:t xml:space="preserve">Allocation attribué par les appelles </w:t>
            </w:r>
            <w:r w:rsidR="00880622">
              <w:rPr>
                <w:sz w:val="18"/>
                <w:szCs w:val="18"/>
              </w:rPr>
              <w:t>à p</w:t>
            </w:r>
            <w:r w:rsidR="00137C23">
              <w:rPr>
                <w:sz w:val="18"/>
                <w:szCs w:val="18"/>
              </w:rPr>
              <w:t>rojets</w:t>
            </w:r>
          </w:p>
        </w:tc>
        <w:tc>
          <w:tcPr>
            <w:tcW w:w="1954" w:type="dxa"/>
          </w:tcPr>
          <w:p w14:paraId="65A530B1" w14:textId="60FD5438" w:rsidR="005A1FBA" w:rsidRPr="007D29E9" w:rsidRDefault="007D29E9" w:rsidP="004F576A">
            <w:pPr>
              <w:rPr>
                <w:sz w:val="18"/>
                <w:szCs w:val="18"/>
              </w:rPr>
            </w:pPr>
            <w:r w:rsidRPr="007D29E9">
              <w:rPr>
                <w:rFonts w:ascii="Calibri" w:eastAsia="Times New Roman" w:hAnsi="Calibri" w:cs="Times New Roman"/>
                <w:color w:val="000000"/>
                <w:sz w:val="18"/>
                <w:szCs w:val="18"/>
                <w:lang w:val="it-IT"/>
              </w:rPr>
              <w:t>€ 13.729.637,17</w:t>
            </w:r>
          </w:p>
        </w:tc>
        <w:tc>
          <w:tcPr>
            <w:tcW w:w="1954" w:type="dxa"/>
          </w:tcPr>
          <w:p w14:paraId="0D49D7A3" w14:textId="61609640" w:rsidR="005A1FBA" w:rsidRPr="007D29E9" w:rsidRDefault="007D29E9" w:rsidP="004F576A">
            <w:pPr>
              <w:rPr>
                <w:sz w:val="18"/>
                <w:szCs w:val="18"/>
              </w:rPr>
            </w:pPr>
            <w:r w:rsidRPr="007D29E9">
              <w:rPr>
                <w:rFonts w:ascii="Calibri" w:eastAsia="Times New Roman" w:hAnsi="Calibri" w:cs="Times New Roman"/>
                <w:color w:val="000000"/>
                <w:sz w:val="18"/>
                <w:szCs w:val="18"/>
                <w:lang w:val="it-IT"/>
              </w:rPr>
              <w:t>€ 5.380.128,05</w:t>
            </w:r>
          </w:p>
        </w:tc>
        <w:tc>
          <w:tcPr>
            <w:tcW w:w="1955" w:type="dxa"/>
          </w:tcPr>
          <w:p w14:paraId="64E239D1" w14:textId="57188202" w:rsidR="003E74E9" w:rsidRPr="007D29E9" w:rsidRDefault="007D29E9" w:rsidP="004F576A">
            <w:pPr>
              <w:rPr>
                <w:sz w:val="18"/>
                <w:szCs w:val="18"/>
              </w:rPr>
            </w:pPr>
            <w:r w:rsidRPr="007D29E9">
              <w:rPr>
                <w:rFonts w:ascii="Calibri" w:eastAsia="Times New Roman" w:hAnsi="Calibri" w:cs="Times New Roman"/>
                <w:color w:val="000000"/>
                <w:sz w:val="18"/>
                <w:szCs w:val="18"/>
                <w:lang w:val="it-IT"/>
              </w:rPr>
              <w:t>€ 1.899.811,72</w:t>
            </w:r>
          </w:p>
        </w:tc>
        <w:tc>
          <w:tcPr>
            <w:tcW w:w="1955" w:type="dxa"/>
          </w:tcPr>
          <w:p w14:paraId="55D0EA34" w14:textId="279BA5E2" w:rsidR="003E74E9" w:rsidRPr="007D29E9" w:rsidRDefault="007D29E9" w:rsidP="004F576A">
            <w:pPr>
              <w:rPr>
                <w:sz w:val="18"/>
                <w:szCs w:val="18"/>
              </w:rPr>
            </w:pPr>
            <w:r w:rsidRPr="007D29E9">
              <w:rPr>
                <w:rFonts w:ascii="Calibri" w:eastAsia="Times New Roman" w:hAnsi="Calibri" w:cs="Times New Roman"/>
                <w:color w:val="000000"/>
                <w:sz w:val="18"/>
                <w:szCs w:val="18"/>
                <w:lang w:val="it-IT"/>
              </w:rPr>
              <w:t>€ 21.009.576,94</w:t>
            </w:r>
          </w:p>
        </w:tc>
      </w:tr>
      <w:tr w:rsidR="00D54B55" w:rsidRPr="0022087C" w14:paraId="650A5442" w14:textId="77777777" w:rsidTr="008A6230">
        <w:tc>
          <w:tcPr>
            <w:tcW w:w="1954" w:type="dxa"/>
          </w:tcPr>
          <w:p w14:paraId="4ABFF755" w14:textId="61FD2C7F" w:rsidR="00D54B55" w:rsidRPr="0022087C" w:rsidRDefault="0022087C" w:rsidP="004F576A">
            <w:pPr>
              <w:rPr>
                <w:sz w:val="18"/>
                <w:szCs w:val="18"/>
              </w:rPr>
            </w:pPr>
            <w:r>
              <w:rPr>
                <w:sz w:val="18"/>
                <w:szCs w:val="18"/>
              </w:rPr>
              <w:t xml:space="preserve">% allocation </w:t>
            </w:r>
          </w:p>
        </w:tc>
        <w:tc>
          <w:tcPr>
            <w:tcW w:w="1954" w:type="dxa"/>
          </w:tcPr>
          <w:p w14:paraId="41805B62" w14:textId="3EE2390D" w:rsidR="00D54B55" w:rsidRPr="0022087C" w:rsidRDefault="007D29E9" w:rsidP="004F576A">
            <w:pPr>
              <w:rPr>
                <w:sz w:val="18"/>
                <w:szCs w:val="18"/>
              </w:rPr>
            </w:pPr>
            <w:r>
              <w:rPr>
                <w:sz w:val="18"/>
                <w:szCs w:val="18"/>
              </w:rPr>
              <w:t>65%</w:t>
            </w:r>
          </w:p>
        </w:tc>
        <w:tc>
          <w:tcPr>
            <w:tcW w:w="1954" w:type="dxa"/>
          </w:tcPr>
          <w:p w14:paraId="743EA0D4" w14:textId="6BCB3DC0" w:rsidR="00D54B55" w:rsidRPr="0022087C" w:rsidRDefault="007D29E9" w:rsidP="004F576A">
            <w:pPr>
              <w:rPr>
                <w:sz w:val="18"/>
                <w:szCs w:val="18"/>
              </w:rPr>
            </w:pPr>
            <w:r>
              <w:rPr>
                <w:sz w:val="18"/>
                <w:szCs w:val="18"/>
              </w:rPr>
              <w:t>26%</w:t>
            </w:r>
          </w:p>
        </w:tc>
        <w:tc>
          <w:tcPr>
            <w:tcW w:w="1955" w:type="dxa"/>
          </w:tcPr>
          <w:p w14:paraId="21ACEA3E" w14:textId="7AAA84ED" w:rsidR="00D54B55" w:rsidRPr="0022087C" w:rsidRDefault="003A2CBA" w:rsidP="004F576A">
            <w:pPr>
              <w:rPr>
                <w:sz w:val="18"/>
                <w:szCs w:val="18"/>
              </w:rPr>
            </w:pPr>
            <w:r w:rsidRPr="0022087C">
              <w:rPr>
                <w:sz w:val="18"/>
                <w:szCs w:val="18"/>
              </w:rPr>
              <w:t>9%</w:t>
            </w:r>
          </w:p>
        </w:tc>
        <w:tc>
          <w:tcPr>
            <w:tcW w:w="1955" w:type="dxa"/>
          </w:tcPr>
          <w:p w14:paraId="01A2FE81" w14:textId="6F0CED14" w:rsidR="00D54B55" w:rsidRPr="0022087C" w:rsidRDefault="007D29E9" w:rsidP="004F576A">
            <w:pPr>
              <w:rPr>
                <w:sz w:val="18"/>
                <w:szCs w:val="18"/>
              </w:rPr>
            </w:pPr>
            <w:r>
              <w:rPr>
                <w:sz w:val="18"/>
                <w:szCs w:val="18"/>
              </w:rPr>
              <w:t>100%</w:t>
            </w:r>
          </w:p>
        </w:tc>
      </w:tr>
      <w:tr w:rsidR="0081128E" w:rsidRPr="0022087C" w14:paraId="112635CC" w14:textId="77777777" w:rsidTr="008A6230">
        <w:tc>
          <w:tcPr>
            <w:tcW w:w="1954" w:type="dxa"/>
          </w:tcPr>
          <w:p w14:paraId="39A9D8FD" w14:textId="5E5353BE" w:rsidR="0081128E" w:rsidRPr="0022087C" w:rsidRDefault="0081128E" w:rsidP="00880622">
            <w:pPr>
              <w:rPr>
                <w:sz w:val="18"/>
                <w:szCs w:val="18"/>
              </w:rPr>
            </w:pPr>
            <w:r w:rsidRPr="0022087C">
              <w:rPr>
                <w:sz w:val="18"/>
                <w:szCs w:val="18"/>
              </w:rPr>
              <w:t>1° appel projets standards</w:t>
            </w:r>
          </w:p>
        </w:tc>
        <w:tc>
          <w:tcPr>
            <w:tcW w:w="1954" w:type="dxa"/>
          </w:tcPr>
          <w:p w14:paraId="43F638FA" w14:textId="3DB1696B" w:rsidR="0081128E" w:rsidRPr="0022087C" w:rsidRDefault="0081128E" w:rsidP="004F576A">
            <w:pPr>
              <w:rPr>
                <w:sz w:val="18"/>
                <w:szCs w:val="18"/>
              </w:rPr>
            </w:pPr>
            <w:r w:rsidRPr="0022087C">
              <w:rPr>
                <w:sz w:val="18"/>
                <w:szCs w:val="18"/>
              </w:rPr>
              <w:t>9</w:t>
            </w:r>
          </w:p>
        </w:tc>
        <w:tc>
          <w:tcPr>
            <w:tcW w:w="1954" w:type="dxa"/>
          </w:tcPr>
          <w:p w14:paraId="57F4AB35" w14:textId="5A25FD38" w:rsidR="0081128E" w:rsidRPr="0022087C" w:rsidRDefault="0081128E" w:rsidP="004F576A">
            <w:pPr>
              <w:rPr>
                <w:sz w:val="18"/>
                <w:szCs w:val="18"/>
              </w:rPr>
            </w:pPr>
            <w:r w:rsidRPr="0022087C">
              <w:rPr>
                <w:sz w:val="18"/>
                <w:szCs w:val="18"/>
              </w:rPr>
              <w:t>2</w:t>
            </w:r>
          </w:p>
        </w:tc>
        <w:tc>
          <w:tcPr>
            <w:tcW w:w="1955" w:type="dxa"/>
          </w:tcPr>
          <w:p w14:paraId="6058E8AB" w14:textId="7E7034E4" w:rsidR="0081128E" w:rsidRPr="0022087C" w:rsidRDefault="0081128E" w:rsidP="004F576A">
            <w:pPr>
              <w:rPr>
                <w:sz w:val="18"/>
                <w:szCs w:val="18"/>
              </w:rPr>
            </w:pPr>
            <w:r w:rsidRPr="0022087C">
              <w:rPr>
                <w:sz w:val="18"/>
                <w:szCs w:val="18"/>
              </w:rPr>
              <w:t>1</w:t>
            </w:r>
          </w:p>
        </w:tc>
        <w:tc>
          <w:tcPr>
            <w:tcW w:w="1955" w:type="dxa"/>
          </w:tcPr>
          <w:p w14:paraId="4DE2CED9" w14:textId="2AAD9C00" w:rsidR="0081128E" w:rsidRPr="0022087C" w:rsidRDefault="0022087C" w:rsidP="004F576A">
            <w:pPr>
              <w:rPr>
                <w:sz w:val="18"/>
                <w:szCs w:val="18"/>
              </w:rPr>
            </w:pPr>
            <w:r>
              <w:rPr>
                <w:sz w:val="18"/>
                <w:szCs w:val="18"/>
              </w:rPr>
              <w:t>12</w:t>
            </w:r>
          </w:p>
        </w:tc>
      </w:tr>
      <w:tr w:rsidR="0081128E" w:rsidRPr="0022087C" w14:paraId="455E2BCB" w14:textId="77777777" w:rsidTr="008A6230">
        <w:tc>
          <w:tcPr>
            <w:tcW w:w="1954" w:type="dxa"/>
          </w:tcPr>
          <w:p w14:paraId="01EA9A38" w14:textId="3DC09B22" w:rsidR="0081128E" w:rsidRPr="0022087C" w:rsidRDefault="0081128E" w:rsidP="00880622">
            <w:pPr>
              <w:rPr>
                <w:sz w:val="18"/>
                <w:szCs w:val="18"/>
              </w:rPr>
            </w:pPr>
            <w:r w:rsidRPr="0022087C">
              <w:rPr>
                <w:sz w:val="18"/>
                <w:szCs w:val="18"/>
              </w:rPr>
              <w:t xml:space="preserve">Appel  projets </w:t>
            </w:r>
            <w:r w:rsidR="00807CFC" w:rsidRPr="0022087C">
              <w:rPr>
                <w:sz w:val="18"/>
                <w:szCs w:val="18"/>
              </w:rPr>
              <w:t>stratégiques</w:t>
            </w:r>
          </w:p>
        </w:tc>
        <w:tc>
          <w:tcPr>
            <w:tcW w:w="1954" w:type="dxa"/>
          </w:tcPr>
          <w:p w14:paraId="202B1848" w14:textId="0A48937D" w:rsidR="0081128E" w:rsidRPr="0022087C" w:rsidRDefault="0081128E" w:rsidP="004F576A">
            <w:pPr>
              <w:rPr>
                <w:sz w:val="18"/>
                <w:szCs w:val="18"/>
              </w:rPr>
            </w:pPr>
            <w:r w:rsidRPr="0022087C">
              <w:rPr>
                <w:sz w:val="18"/>
                <w:szCs w:val="18"/>
              </w:rPr>
              <w:t>2</w:t>
            </w:r>
          </w:p>
        </w:tc>
        <w:tc>
          <w:tcPr>
            <w:tcW w:w="1954" w:type="dxa"/>
          </w:tcPr>
          <w:p w14:paraId="304F5601" w14:textId="1D4EE39A" w:rsidR="0081128E" w:rsidRPr="0022087C" w:rsidRDefault="0081128E" w:rsidP="004F576A">
            <w:pPr>
              <w:rPr>
                <w:sz w:val="18"/>
                <w:szCs w:val="18"/>
              </w:rPr>
            </w:pPr>
            <w:r w:rsidRPr="0022087C">
              <w:rPr>
                <w:sz w:val="18"/>
                <w:szCs w:val="18"/>
              </w:rPr>
              <w:t>2</w:t>
            </w:r>
          </w:p>
        </w:tc>
        <w:tc>
          <w:tcPr>
            <w:tcW w:w="1955" w:type="dxa"/>
          </w:tcPr>
          <w:p w14:paraId="6EA338A8" w14:textId="4847EC7F" w:rsidR="0081128E" w:rsidRPr="0022087C" w:rsidRDefault="0081128E" w:rsidP="004F576A">
            <w:pPr>
              <w:rPr>
                <w:sz w:val="18"/>
                <w:szCs w:val="18"/>
              </w:rPr>
            </w:pPr>
          </w:p>
        </w:tc>
        <w:tc>
          <w:tcPr>
            <w:tcW w:w="1955" w:type="dxa"/>
          </w:tcPr>
          <w:p w14:paraId="06C16C23" w14:textId="614679C6" w:rsidR="0081128E" w:rsidRPr="0022087C" w:rsidRDefault="0022087C" w:rsidP="004F576A">
            <w:pPr>
              <w:rPr>
                <w:sz w:val="18"/>
                <w:szCs w:val="18"/>
              </w:rPr>
            </w:pPr>
            <w:r>
              <w:rPr>
                <w:sz w:val="18"/>
                <w:szCs w:val="18"/>
              </w:rPr>
              <w:t>4</w:t>
            </w:r>
          </w:p>
        </w:tc>
      </w:tr>
      <w:tr w:rsidR="0081128E" w:rsidRPr="0022087C" w14:paraId="206A5617" w14:textId="77777777" w:rsidTr="008A6230">
        <w:tc>
          <w:tcPr>
            <w:tcW w:w="1954" w:type="dxa"/>
          </w:tcPr>
          <w:p w14:paraId="48C2E39C" w14:textId="210C2B8A" w:rsidR="0081128E" w:rsidRPr="0022087C" w:rsidRDefault="0081128E" w:rsidP="00880622">
            <w:pPr>
              <w:rPr>
                <w:sz w:val="18"/>
                <w:szCs w:val="18"/>
              </w:rPr>
            </w:pPr>
            <w:r w:rsidRPr="0022087C">
              <w:rPr>
                <w:sz w:val="18"/>
                <w:szCs w:val="18"/>
              </w:rPr>
              <w:t>2° appel projets standards</w:t>
            </w:r>
          </w:p>
        </w:tc>
        <w:tc>
          <w:tcPr>
            <w:tcW w:w="1954" w:type="dxa"/>
          </w:tcPr>
          <w:p w14:paraId="77A2C1D8" w14:textId="3AC54383" w:rsidR="0081128E" w:rsidRPr="0022087C" w:rsidRDefault="0081128E" w:rsidP="004F576A">
            <w:pPr>
              <w:rPr>
                <w:sz w:val="18"/>
                <w:szCs w:val="18"/>
              </w:rPr>
            </w:pPr>
            <w:r w:rsidRPr="0022087C">
              <w:rPr>
                <w:sz w:val="18"/>
                <w:szCs w:val="18"/>
              </w:rPr>
              <w:t>8</w:t>
            </w:r>
          </w:p>
        </w:tc>
        <w:tc>
          <w:tcPr>
            <w:tcW w:w="1954" w:type="dxa"/>
          </w:tcPr>
          <w:p w14:paraId="39F36412" w14:textId="3CBBDA72" w:rsidR="0081128E" w:rsidRPr="0022087C" w:rsidRDefault="0081128E" w:rsidP="004F576A">
            <w:pPr>
              <w:rPr>
                <w:sz w:val="18"/>
                <w:szCs w:val="18"/>
              </w:rPr>
            </w:pPr>
            <w:r w:rsidRPr="0022087C">
              <w:rPr>
                <w:sz w:val="18"/>
                <w:szCs w:val="18"/>
              </w:rPr>
              <w:t>3</w:t>
            </w:r>
          </w:p>
        </w:tc>
        <w:tc>
          <w:tcPr>
            <w:tcW w:w="1955" w:type="dxa"/>
          </w:tcPr>
          <w:p w14:paraId="4952CFE5" w14:textId="0DB829CC" w:rsidR="0081128E" w:rsidRPr="0022087C" w:rsidRDefault="0081128E" w:rsidP="004F576A">
            <w:pPr>
              <w:rPr>
                <w:sz w:val="18"/>
                <w:szCs w:val="18"/>
              </w:rPr>
            </w:pPr>
            <w:r w:rsidRPr="0022087C">
              <w:rPr>
                <w:sz w:val="18"/>
                <w:szCs w:val="18"/>
              </w:rPr>
              <w:t>4</w:t>
            </w:r>
          </w:p>
        </w:tc>
        <w:tc>
          <w:tcPr>
            <w:tcW w:w="1955" w:type="dxa"/>
          </w:tcPr>
          <w:p w14:paraId="08FE575E" w14:textId="67BA8F99" w:rsidR="0081128E" w:rsidRPr="0022087C" w:rsidRDefault="0022087C" w:rsidP="004F576A">
            <w:pPr>
              <w:rPr>
                <w:sz w:val="18"/>
                <w:szCs w:val="18"/>
              </w:rPr>
            </w:pPr>
            <w:r>
              <w:rPr>
                <w:sz w:val="18"/>
                <w:szCs w:val="18"/>
              </w:rPr>
              <w:t>15</w:t>
            </w:r>
          </w:p>
        </w:tc>
      </w:tr>
      <w:tr w:rsidR="0081128E" w:rsidRPr="0022087C" w14:paraId="25EC11B0" w14:textId="77777777" w:rsidTr="008A6230">
        <w:tc>
          <w:tcPr>
            <w:tcW w:w="1954" w:type="dxa"/>
          </w:tcPr>
          <w:p w14:paraId="2A7578E3" w14:textId="6455C518" w:rsidR="0081128E" w:rsidRPr="0022087C" w:rsidRDefault="0081128E" w:rsidP="004F576A">
            <w:pPr>
              <w:rPr>
                <w:sz w:val="18"/>
                <w:szCs w:val="18"/>
              </w:rPr>
            </w:pPr>
            <w:r w:rsidRPr="0022087C">
              <w:rPr>
                <w:sz w:val="18"/>
                <w:szCs w:val="18"/>
              </w:rPr>
              <w:t xml:space="preserve">Total des projets financés </w:t>
            </w:r>
          </w:p>
        </w:tc>
        <w:tc>
          <w:tcPr>
            <w:tcW w:w="1954" w:type="dxa"/>
          </w:tcPr>
          <w:p w14:paraId="77AB6FB5" w14:textId="12988675" w:rsidR="0081128E" w:rsidRPr="0022087C" w:rsidRDefault="0081128E" w:rsidP="004F576A">
            <w:pPr>
              <w:rPr>
                <w:sz w:val="18"/>
                <w:szCs w:val="18"/>
              </w:rPr>
            </w:pPr>
            <w:r w:rsidRPr="0022087C">
              <w:rPr>
                <w:sz w:val="18"/>
                <w:szCs w:val="18"/>
              </w:rPr>
              <w:t>19</w:t>
            </w:r>
          </w:p>
        </w:tc>
        <w:tc>
          <w:tcPr>
            <w:tcW w:w="1954" w:type="dxa"/>
          </w:tcPr>
          <w:p w14:paraId="06E96B64" w14:textId="006AF72C" w:rsidR="0081128E" w:rsidRPr="0022087C" w:rsidRDefault="0081128E" w:rsidP="004F576A">
            <w:pPr>
              <w:rPr>
                <w:sz w:val="18"/>
                <w:szCs w:val="18"/>
              </w:rPr>
            </w:pPr>
            <w:r w:rsidRPr="0022087C">
              <w:rPr>
                <w:sz w:val="18"/>
                <w:szCs w:val="18"/>
              </w:rPr>
              <w:t>7</w:t>
            </w:r>
          </w:p>
        </w:tc>
        <w:tc>
          <w:tcPr>
            <w:tcW w:w="1955" w:type="dxa"/>
          </w:tcPr>
          <w:p w14:paraId="43C99FE3" w14:textId="2298FD19" w:rsidR="0081128E" w:rsidRPr="0022087C" w:rsidRDefault="0081128E" w:rsidP="004F576A">
            <w:pPr>
              <w:rPr>
                <w:sz w:val="18"/>
                <w:szCs w:val="18"/>
              </w:rPr>
            </w:pPr>
            <w:r w:rsidRPr="0022087C">
              <w:rPr>
                <w:sz w:val="18"/>
                <w:szCs w:val="18"/>
              </w:rPr>
              <w:t>5</w:t>
            </w:r>
          </w:p>
        </w:tc>
        <w:tc>
          <w:tcPr>
            <w:tcW w:w="1955" w:type="dxa"/>
          </w:tcPr>
          <w:p w14:paraId="2907A906" w14:textId="5B9DD6A3" w:rsidR="0081128E" w:rsidRPr="0022087C" w:rsidRDefault="003A2CBA" w:rsidP="004F576A">
            <w:pPr>
              <w:rPr>
                <w:sz w:val="18"/>
                <w:szCs w:val="18"/>
              </w:rPr>
            </w:pPr>
            <w:r w:rsidRPr="0022087C">
              <w:rPr>
                <w:sz w:val="18"/>
                <w:szCs w:val="18"/>
              </w:rPr>
              <w:t>31</w:t>
            </w:r>
          </w:p>
        </w:tc>
      </w:tr>
      <w:tr w:rsidR="0081128E" w:rsidRPr="0022087C" w14:paraId="6DF81DD3" w14:textId="77777777" w:rsidTr="008A6230">
        <w:tc>
          <w:tcPr>
            <w:tcW w:w="1954" w:type="dxa"/>
          </w:tcPr>
          <w:p w14:paraId="6C6F63DA" w14:textId="7ABA6411" w:rsidR="0081128E" w:rsidRPr="0022087C" w:rsidRDefault="003A2CBA" w:rsidP="004F576A">
            <w:pPr>
              <w:rPr>
                <w:sz w:val="18"/>
                <w:szCs w:val="18"/>
              </w:rPr>
            </w:pPr>
            <w:r w:rsidRPr="0022087C">
              <w:rPr>
                <w:sz w:val="18"/>
                <w:szCs w:val="18"/>
              </w:rPr>
              <w:t>%</w:t>
            </w:r>
          </w:p>
        </w:tc>
        <w:tc>
          <w:tcPr>
            <w:tcW w:w="1954" w:type="dxa"/>
          </w:tcPr>
          <w:p w14:paraId="08569703" w14:textId="0ACE70A0" w:rsidR="0081128E" w:rsidRPr="0022087C" w:rsidRDefault="003A2CBA" w:rsidP="004F576A">
            <w:pPr>
              <w:rPr>
                <w:sz w:val="18"/>
                <w:szCs w:val="18"/>
              </w:rPr>
            </w:pPr>
            <w:r w:rsidRPr="0022087C">
              <w:rPr>
                <w:sz w:val="18"/>
                <w:szCs w:val="18"/>
              </w:rPr>
              <w:t>61%</w:t>
            </w:r>
          </w:p>
        </w:tc>
        <w:tc>
          <w:tcPr>
            <w:tcW w:w="1954" w:type="dxa"/>
          </w:tcPr>
          <w:p w14:paraId="7CEC0875" w14:textId="2CC35463" w:rsidR="0081128E" w:rsidRPr="0022087C" w:rsidRDefault="003A2CBA" w:rsidP="004F576A">
            <w:pPr>
              <w:rPr>
                <w:sz w:val="18"/>
                <w:szCs w:val="18"/>
              </w:rPr>
            </w:pPr>
            <w:r w:rsidRPr="0022087C">
              <w:rPr>
                <w:sz w:val="18"/>
                <w:szCs w:val="18"/>
              </w:rPr>
              <w:t>23%</w:t>
            </w:r>
          </w:p>
        </w:tc>
        <w:tc>
          <w:tcPr>
            <w:tcW w:w="1955" w:type="dxa"/>
          </w:tcPr>
          <w:p w14:paraId="060D5D74" w14:textId="5C891E86" w:rsidR="0081128E" w:rsidRPr="0022087C" w:rsidRDefault="003A2CBA" w:rsidP="004F576A">
            <w:pPr>
              <w:rPr>
                <w:sz w:val="18"/>
                <w:szCs w:val="18"/>
              </w:rPr>
            </w:pPr>
            <w:r w:rsidRPr="0022087C">
              <w:rPr>
                <w:sz w:val="18"/>
                <w:szCs w:val="18"/>
              </w:rPr>
              <w:t>16%</w:t>
            </w:r>
          </w:p>
        </w:tc>
        <w:tc>
          <w:tcPr>
            <w:tcW w:w="1955" w:type="dxa"/>
          </w:tcPr>
          <w:p w14:paraId="49C6E2D0" w14:textId="1364DC3D" w:rsidR="0081128E" w:rsidRPr="0022087C" w:rsidRDefault="003A2CBA" w:rsidP="004F576A">
            <w:pPr>
              <w:rPr>
                <w:sz w:val="18"/>
                <w:szCs w:val="18"/>
              </w:rPr>
            </w:pPr>
            <w:r w:rsidRPr="0022087C">
              <w:rPr>
                <w:sz w:val="18"/>
                <w:szCs w:val="18"/>
              </w:rPr>
              <w:t>100%</w:t>
            </w:r>
          </w:p>
        </w:tc>
      </w:tr>
    </w:tbl>
    <w:p w14:paraId="5F8E6AF8" w14:textId="77777777" w:rsidR="008A6230" w:rsidRDefault="008A6230" w:rsidP="004F576A">
      <w:pPr>
        <w:rPr>
          <w:i/>
        </w:rPr>
      </w:pPr>
    </w:p>
    <w:p w14:paraId="7F2419B7" w14:textId="77777777" w:rsidR="00984014" w:rsidRDefault="00984014" w:rsidP="009A78FC">
      <w:pPr>
        <w:jc w:val="both"/>
      </w:pPr>
    </w:p>
    <w:p w14:paraId="073C385D" w14:textId="48AB857C" w:rsidR="00BB3BAA" w:rsidRDefault="00BB3BAA" w:rsidP="00900D25">
      <w:pPr>
        <w:pStyle w:val="Titolo2"/>
        <w:numPr>
          <w:ilvl w:val="1"/>
          <w:numId w:val="48"/>
        </w:numPr>
      </w:pPr>
      <w:bookmarkStart w:id="21" w:name="_Toc506480687"/>
      <w:bookmarkStart w:id="22" w:name="_Toc506481162"/>
      <w:bookmarkStart w:id="23" w:name="_Toc506481184"/>
      <w:bookmarkStart w:id="24" w:name="_Toc506481283"/>
      <w:bookmarkStart w:id="25" w:name="_Toc507758748"/>
      <w:r w:rsidRPr="004F576A">
        <w:t>Le programme IEV Italie Tunisie 20</w:t>
      </w:r>
      <w:r>
        <w:t>14</w:t>
      </w:r>
      <w:r w:rsidRPr="004F576A">
        <w:t>-20</w:t>
      </w:r>
      <w:r>
        <w:t>20</w:t>
      </w:r>
      <w:bookmarkEnd w:id="21"/>
      <w:bookmarkEnd w:id="22"/>
      <w:bookmarkEnd w:id="23"/>
      <w:bookmarkEnd w:id="24"/>
      <w:bookmarkEnd w:id="25"/>
    </w:p>
    <w:p w14:paraId="3AFCDB52" w14:textId="77777777" w:rsidR="00C726F2" w:rsidRDefault="00C726F2" w:rsidP="009A78FC">
      <w:pPr>
        <w:jc w:val="both"/>
      </w:pPr>
    </w:p>
    <w:p w14:paraId="291EA69E" w14:textId="6C0819B5" w:rsidR="009537C6" w:rsidRPr="004768A1" w:rsidRDefault="00984014" w:rsidP="00984014">
      <w:pPr>
        <w:jc w:val="both"/>
        <w:rPr>
          <w:rFonts w:cstheme="minorHAnsi"/>
          <w:bCs/>
          <w:szCs w:val="22"/>
        </w:rPr>
      </w:pPr>
      <w:r w:rsidRPr="004768A1">
        <w:rPr>
          <w:rFonts w:cstheme="minorHAnsi"/>
          <w:bCs/>
          <w:szCs w:val="22"/>
        </w:rPr>
        <w:t>Le programme 2014-2020</w:t>
      </w:r>
      <w:r w:rsidRPr="004768A1">
        <w:rPr>
          <w:rStyle w:val="Rimandonotaapidipagina"/>
          <w:rFonts w:cstheme="minorHAnsi"/>
          <w:bCs/>
          <w:szCs w:val="22"/>
        </w:rPr>
        <w:footnoteReference w:id="9"/>
      </w:r>
      <w:r w:rsidRPr="004768A1">
        <w:rPr>
          <w:rFonts w:cstheme="minorHAnsi"/>
          <w:bCs/>
          <w:szCs w:val="22"/>
        </w:rPr>
        <w:t xml:space="preserve"> a été décliné </w:t>
      </w:r>
      <w:r w:rsidR="004768A1" w:rsidRPr="004768A1">
        <w:rPr>
          <w:rFonts w:cstheme="minorHAnsi"/>
          <w:bCs/>
          <w:szCs w:val="22"/>
        </w:rPr>
        <w:t>en</w:t>
      </w:r>
      <w:r w:rsidRPr="004768A1">
        <w:rPr>
          <w:rFonts w:cstheme="minorHAnsi"/>
          <w:bCs/>
          <w:szCs w:val="22"/>
        </w:rPr>
        <w:t xml:space="preserve"> 2 appels </w:t>
      </w:r>
      <w:r w:rsidR="00137C23">
        <w:rPr>
          <w:rFonts w:cstheme="minorHAnsi"/>
          <w:bCs/>
          <w:szCs w:val="22"/>
        </w:rPr>
        <w:t>projets</w:t>
      </w:r>
      <w:r w:rsidRPr="004768A1">
        <w:rPr>
          <w:rFonts w:cstheme="minorHAnsi"/>
          <w:bCs/>
          <w:szCs w:val="22"/>
        </w:rPr>
        <w:t xml:space="preserve">, dont le premier pour les projets </w:t>
      </w:r>
      <w:proofErr w:type="gramStart"/>
      <w:r w:rsidRPr="004768A1">
        <w:rPr>
          <w:rFonts w:cstheme="minorHAnsi"/>
          <w:bCs/>
          <w:szCs w:val="22"/>
        </w:rPr>
        <w:t>standards</w:t>
      </w:r>
      <w:proofErr w:type="gramEnd"/>
      <w:r w:rsidRPr="004768A1">
        <w:rPr>
          <w:rFonts w:cstheme="minorHAnsi"/>
          <w:bCs/>
          <w:szCs w:val="22"/>
        </w:rPr>
        <w:t xml:space="preserve"> et le second pour les stratégiques, pour un total de 28 projets financés</w:t>
      </w:r>
      <w:r w:rsidR="000D671D" w:rsidRPr="004768A1">
        <w:rPr>
          <w:rFonts w:cstheme="minorHAnsi"/>
          <w:bCs/>
          <w:szCs w:val="22"/>
        </w:rPr>
        <w:t xml:space="preserve"> avec une contribution UE total</w:t>
      </w:r>
      <w:r w:rsidR="003D7524">
        <w:rPr>
          <w:rFonts w:cstheme="minorHAnsi"/>
          <w:bCs/>
          <w:szCs w:val="22"/>
        </w:rPr>
        <w:t>e</w:t>
      </w:r>
      <w:r w:rsidR="000D671D" w:rsidRPr="004768A1">
        <w:rPr>
          <w:rFonts w:cstheme="minorHAnsi"/>
          <w:bCs/>
          <w:szCs w:val="22"/>
        </w:rPr>
        <w:t xml:space="preserve"> de </w:t>
      </w:r>
      <w:r w:rsidR="004768A1" w:rsidRPr="004768A1">
        <w:rPr>
          <w:rFonts w:cstheme="minorHAnsi"/>
          <w:bCs/>
          <w:szCs w:val="22"/>
        </w:rPr>
        <w:t>€ 30.056.925</w:t>
      </w:r>
      <w:r w:rsidRPr="004768A1">
        <w:rPr>
          <w:rFonts w:cstheme="minorHAnsi"/>
          <w:bCs/>
          <w:szCs w:val="22"/>
        </w:rPr>
        <w:t xml:space="preserve">. </w:t>
      </w:r>
      <w:r w:rsidR="00F84786" w:rsidRPr="004768A1">
        <w:rPr>
          <w:rFonts w:cstheme="minorHAnsi"/>
          <w:bCs/>
          <w:szCs w:val="22"/>
        </w:rPr>
        <w:t xml:space="preserve">La valeur moyenne du cofinancement de l'UE pour les 28 projets financés est </w:t>
      </w:r>
      <w:r w:rsidR="003D7524">
        <w:rPr>
          <w:rFonts w:cstheme="minorHAnsi"/>
          <w:bCs/>
          <w:szCs w:val="22"/>
        </w:rPr>
        <w:t>d’</w:t>
      </w:r>
      <w:r w:rsidR="00F84786" w:rsidRPr="004768A1">
        <w:rPr>
          <w:rFonts w:cstheme="minorHAnsi"/>
          <w:bCs/>
          <w:szCs w:val="22"/>
        </w:rPr>
        <w:t>environs € 1.073.</w:t>
      </w:r>
      <w:r w:rsidR="004768A1" w:rsidRPr="004768A1">
        <w:rPr>
          <w:rFonts w:cstheme="minorHAnsi"/>
          <w:bCs/>
          <w:szCs w:val="22"/>
        </w:rPr>
        <w:t>461</w:t>
      </w:r>
      <w:r w:rsidR="00F84786" w:rsidRPr="004768A1">
        <w:rPr>
          <w:rFonts w:cstheme="minorHAnsi"/>
          <w:bCs/>
          <w:szCs w:val="22"/>
        </w:rPr>
        <w:t xml:space="preserve"> par projets. Les </w:t>
      </w:r>
      <w:r w:rsidR="00530AB5" w:rsidRPr="004768A1">
        <w:rPr>
          <w:rFonts w:cstheme="minorHAnsi"/>
          <w:bCs/>
          <w:szCs w:val="22"/>
        </w:rPr>
        <w:t>projets financés</w:t>
      </w:r>
      <w:r w:rsidR="00C10EA6" w:rsidRPr="004768A1">
        <w:rPr>
          <w:rFonts w:cstheme="minorHAnsi"/>
          <w:bCs/>
          <w:szCs w:val="22"/>
        </w:rPr>
        <w:t xml:space="preserve"> par le programme </w:t>
      </w:r>
      <w:r w:rsidR="009537C6" w:rsidRPr="004768A1">
        <w:rPr>
          <w:rFonts w:cstheme="minorHAnsi"/>
          <w:szCs w:val="22"/>
        </w:rPr>
        <w:t xml:space="preserve">dans les deux appels ont impliqué </w:t>
      </w:r>
      <w:r w:rsidR="00E238DA">
        <w:rPr>
          <w:rFonts w:cstheme="minorHAnsi"/>
          <w:szCs w:val="22"/>
        </w:rPr>
        <w:t>77</w:t>
      </w:r>
      <w:r w:rsidR="00E238DA" w:rsidRPr="004768A1">
        <w:rPr>
          <w:rFonts w:cstheme="minorHAnsi"/>
          <w:szCs w:val="22"/>
        </w:rPr>
        <w:t xml:space="preserve"> </w:t>
      </w:r>
      <w:r w:rsidR="009537C6" w:rsidRPr="004768A1">
        <w:rPr>
          <w:rFonts w:cstheme="minorHAnsi"/>
          <w:szCs w:val="22"/>
        </w:rPr>
        <w:t xml:space="preserve">partenaires dont </w:t>
      </w:r>
      <w:r w:rsidR="00E238DA">
        <w:rPr>
          <w:rFonts w:cstheme="minorHAnsi"/>
          <w:szCs w:val="22"/>
        </w:rPr>
        <w:t>41</w:t>
      </w:r>
      <w:r w:rsidR="00E238DA" w:rsidRPr="004768A1">
        <w:rPr>
          <w:rFonts w:cstheme="minorHAnsi"/>
          <w:szCs w:val="22"/>
        </w:rPr>
        <w:t xml:space="preserve"> </w:t>
      </w:r>
      <w:r w:rsidR="009537C6" w:rsidRPr="004768A1">
        <w:rPr>
          <w:rFonts w:cstheme="minorHAnsi"/>
          <w:szCs w:val="22"/>
        </w:rPr>
        <w:t xml:space="preserve">italiens et </w:t>
      </w:r>
      <w:r w:rsidR="00E238DA">
        <w:rPr>
          <w:rFonts w:cstheme="minorHAnsi"/>
          <w:szCs w:val="22"/>
        </w:rPr>
        <w:t xml:space="preserve">36 </w:t>
      </w:r>
      <w:r w:rsidR="009537C6" w:rsidRPr="004768A1">
        <w:rPr>
          <w:rFonts w:cstheme="minorHAnsi"/>
          <w:szCs w:val="22"/>
        </w:rPr>
        <w:t>tunisiens.</w:t>
      </w:r>
      <w:r w:rsidR="00530AB5" w:rsidRPr="004768A1">
        <w:rPr>
          <w:rFonts w:cstheme="minorHAnsi"/>
          <w:szCs w:val="22"/>
        </w:rPr>
        <w:t xml:space="preserve"> L’appel à projets standard s’est déroulé en deux étapes, lorsque l’appel à projets stratégiques a prévu une seule étape. La duré pour les projets standards </w:t>
      </w:r>
      <w:r w:rsidR="003D7524">
        <w:rPr>
          <w:rFonts w:cstheme="minorHAnsi"/>
          <w:szCs w:val="22"/>
        </w:rPr>
        <w:t xml:space="preserve">a </w:t>
      </w:r>
      <w:r w:rsidR="00530AB5" w:rsidRPr="004768A1">
        <w:rPr>
          <w:rFonts w:cstheme="minorHAnsi"/>
          <w:szCs w:val="22"/>
        </w:rPr>
        <w:t>ét</w:t>
      </w:r>
      <w:r w:rsidR="003D7524">
        <w:rPr>
          <w:rFonts w:cstheme="minorHAnsi"/>
          <w:szCs w:val="22"/>
        </w:rPr>
        <w:t>é</w:t>
      </w:r>
      <w:r w:rsidR="00530AB5" w:rsidRPr="004768A1">
        <w:rPr>
          <w:rFonts w:cstheme="minorHAnsi"/>
          <w:szCs w:val="22"/>
        </w:rPr>
        <w:t xml:space="preserve"> de 18-36 mois, </w:t>
      </w:r>
      <w:r w:rsidR="003D7524">
        <w:rPr>
          <w:rFonts w:cstheme="minorHAnsi"/>
          <w:szCs w:val="22"/>
        </w:rPr>
        <w:t>a</w:t>
      </w:r>
      <w:r w:rsidR="00530AB5" w:rsidRPr="004768A1">
        <w:rPr>
          <w:rFonts w:cstheme="minorHAnsi"/>
          <w:szCs w:val="22"/>
        </w:rPr>
        <w:t>lors</w:t>
      </w:r>
      <w:r w:rsidR="003D7524">
        <w:rPr>
          <w:rFonts w:cstheme="minorHAnsi"/>
          <w:szCs w:val="22"/>
        </w:rPr>
        <w:t xml:space="preserve"> </w:t>
      </w:r>
      <w:r w:rsidR="00530AB5" w:rsidRPr="004768A1">
        <w:rPr>
          <w:rFonts w:cstheme="minorHAnsi"/>
          <w:szCs w:val="22"/>
        </w:rPr>
        <w:t xml:space="preserve">que pour les projets stratégiques </w:t>
      </w:r>
      <w:r w:rsidR="003D7524">
        <w:rPr>
          <w:rFonts w:cstheme="minorHAnsi"/>
          <w:szCs w:val="22"/>
        </w:rPr>
        <w:t>elle a été</w:t>
      </w:r>
      <w:r w:rsidR="00530AB5" w:rsidRPr="004768A1">
        <w:rPr>
          <w:rFonts w:cstheme="minorHAnsi"/>
          <w:szCs w:val="22"/>
        </w:rPr>
        <w:t xml:space="preserve"> de 24 mois. </w:t>
      </w:r>
    </w:p>
    <w:p w14:paraId="77C8F9CF" w14:textId="236EC094" w:rsidR="00984014" w:rsidRPr="004768A1" w:rsidRDefault="009537C6" w:rsidP="00984014">
      <w:pPr>
        <w:jc w:val="both"/>
        <w:rPr>
          <w:rFonts w:cstheme="minorHAnsi"/>
          <w:bCs/>
          <w:szCs w:val="22"/>
        </w:rPr>
      </w:pPr>
      <w:r w:rsidRPr="004768A1">
        <w:rPr>
          <w:rFonts w:cstheme="minorHAnsi"/>
          <w:bCs/>
          <w:szCs w:val="22"/>
        </w:rPr>
        <w:t>L’OT</w:t>
      </w:r>
      <w:r w:rsidR="00984014" w:rsidRPr="004768A1">
        <w:rPr>
          <w:rFonts w:cstheme="minorHAnsi"/>
          <w:bCs/>
          <w:szCs w:val="22"/>
        </w:rPr>
        <w:t xml:space="preserve"> 2 </w:t>
      </w:r>
      <w:r w:rsidR="004702A9">
        <w:rPr>
          <w:rFonts w:cstheme="minorHAnsi"/>
          <w:bCs/>
          <w:szCs w:val="22"/>
        </w:rPr>
        <w:t>a</w:t>
      </w:r>
      <w:r w:rsidRPr="004768A1">
        <w:rPr>
          <w:rFonts w:cstheme="minorHAnsi"/>
          <w:bCs/>
          <w:szCs w:val="22"/>
        </w:rPr>
        <w:t xml:space="preserve"> enregistré le plus grand nombre de projets financés (46% des projets), suivi par l’OT3 (29%) et l’OT1 (25%). </w:t>
      </w:r>
    </w:p>
    <w:p w14:paraId="6FCCE2EE" w14:textId="7C7D3AEE" w:rsidR="006B2886" w:rsidRDefault="00230295" w:rsidP="00DA3478">
      <w:pPr>
        <w:jc w:val="both"/>
        <w:rPr>
          <w:szCs w:val="22"/>
        </w:rPr>
      </w:pPr>
      <w:r w:rsidRPr="004768A1">
        <w:rPr>
          <w:rFonts w:cstheme="minorHAnsi"/>
          <w:bCs/>
          <w:szCs w:val="22"/>
        </w:rPr>
        <w:t xml:space="preserve">Le programme </w:t>
      </w:r>
      <w:r w:rsidR="006B2886">
        <w:rPr>
          <w:rFonts w:cstheme="minorHAnsi"/>
          <w:bCs/>
          <w:szCs w:val="22"/>
        </w:rPr>
        <w:t>maintien</w:t>
      </w:r>
      <w:r w:rsidRPr="004768A1">
        <w:rPr>
          <w:rFonts w:cstheme="minorHAnsi"/>
          <w:bCs/>
          <w:szCs w:val="22"/>
        </w:rPr>
        <w:t xml:space="preserve"> </w:t>
      </w:r>
      <w:r w:rsidR="006B2886">
        <w:rPr>
          <w:rFonts w:cstheme="minorHAnsi"/>
          <w:bCs/>
          <w:szCs w:val="22"/>
        </w:rPr>
        <w:t>la</w:t>
      </w:r>
      <w:r w:rsidRPr="004768A1">
        <w:rPr>
          <w:rFonts w:cstheme="minorHAnsi"/>
          <w:bCs/>
          <w:szCs w:val="22"/>
        </w:rPr>
        <w:t xml:space="preserve"> </w:t>
      </w:r>
      <w:r w:rsidR="006B2886">
        <w:rPr>
          <w:rFonts w:cstheme="minorHAnsi"/>
          <w:bCs/>
          <w:szCs w:val="22"/>
        </w:rPr>
        <w:t xml:space="preserve">déclination </w:t>
      </w:r>
      <w:r w:rsidRPr="004768A1">
        <w:rPr>
          <w:rFonts w:cstheme="minorHAnsi"/>
          <w:bCs/>
          <w:szCs w:val="22"/>
        </w:rPr>
        <w:t xml:space="preserve">en projets standards et </w:t>
      </w:r>
      <w:r w:rsidR="006B2886">
        <w:rPr>
          <w:rFonts w:cstheme="minorHAnsi"/>
          <w:bCs/>
          <w:szCs w:val="22"/>
        </w:rPr>
        <w:t xml:space="preserve"> projets </w:t>
      </w:r>
      <w:r w:rsidRPr="004768A1">
        <w:rPr>
          <w:rFonts w:cstheme="minorHAnsi"/>
          <w:bCs/>
          <w:szCs w:val="22"/>
        </w:rPr>
        <w:t>stratégiques, mais renforce la valeur des projets stratégiques qui incluent également l'aspect capitalisation. Les lignes directrices de</w:t>
      </w:r>
      <w:r w:rsidR="003D7524">
        <w:rPr>
          <w:rFonts w:cstheme="minorHAnsi"/>
          <w:bCs/>
          <w:szCs w:val="22"/>
        </w:rPr>
        <w:t>s</w:t>
      </w:r>
      <w:r w:rsidRPr="004768A1">
        <w:rPr>
          <w:rFonts w:cstheme="minorHAnsi"/>
          <w:bCs/>
          <w:szCs w:val="22"/>
        </w:rPr>
        <w:t xml:space="preserve"> </w:t>
      </w:r>
      <w:r w:rsidR="00F554E1" w:rsidRPr="004768A1">
        <w:rPr>
          <w:rFonts w:cstheme="minorHAnsi"/>
          <w:bCs/>
          <w:szCs w:val="22"/>
        </w:rPr>
        <w:t>appels</w:t>
      </w:r>
      <w:r w:rsidRPr="004768A1">
        <w:rPr>
          <w:rFonts w:cstheme="minorHAnsi"/>
          <w:bCs/>
          <w:szCs w:val="22"/>
        </w:rPr>
        <w:t xml:space="preserve"> </w:t>
      </w:r>
      <w:r w:rsidR="00BF353B" w:rsidRPr="004768A1">
        <w:rPr>
          <w:rFonts w:cstheme="minorHAnsi"/>
          <w:bCs/>
          <w:szCs w:val="22"/>
        </w:rPr>
        <w:t>stratégiques</w:t>
      </w:r>
      <w:r w:rsidRPr="004768A1">
        <w:rPr>
          <w:rFonts w:cstheme="minorHAnsi"/>
          <w:bCs/>
          <w:szCs w:val="22"/>
        </w:rPr>
        <w:t xml:space="preserve"> </w:t>
      </w:r>
      <w:r w:rsidR="003D7524">
        <w:rPr>
          <w:rFonts w:cstheme="minorHAnsi"/>
          <w:bCs/>
          <w:szCs w:val="22"/>
        </w:rPr>
        <w:t xml:space="preserve">spécifient </w:t>
      </w:r>
      <w:r w:rsidR="006B2886">
        <w:rPr>
          <w:rFonts w:cstheme="minorHAnsi"/>
          <w:bCs/>
          <w:szCs w:val="22"/>
        </w:rPr>
        <w:t xml:space="preserve">que </w:t>
      </w:r>
      <w:r w:rsidRPr="004768A1">
        <w:rPr>
          <w:rFonts w:cstheme="minorHAnsi"/>
          <w:bCs/>
          <w:szCs w:val="22"/>
        </w:rPr>
        <w:t xml:space="preserve">la différenciation entre </w:t>
      </w:r>
      <w:r w:rsidR="006B2886">
        <w:rPr>
          <w:rFonts w:cstheme="minorHAnsi"/>
          <w:bCs/>
          <w:szCs w:val="22"/>
        </w:rPr>
        <w:t xml:space="preserve">les </w:t>
      </w:r>
      <w:r w:rsidRPr="004768A1">
        <w:rPr>
          <w:rFonts w:cstheme="minorHAnsi"/>
          <w:bCs/>
          <w:szCs w:val="22"/>
        </w:rPr>
        <w:t xml:space="preserve">projets « standard » et </w:t>
      </w:r>
      <w:r w:rsidR="006B2886">
        <w:rPr>
          <w:rFonts w:cstheme="minorHAnsi"/>
          <w:bCs/>
          <w:szCs w:val="22"/>
        </w:rPr>
        <w:t xml:space="preserve">les </w:t>
      </w:r>
      <w:r w:rsidRPr="004768A1">
        <w:rPr>
          <w:rFonts w:cstheme="minorHAnsi"/>
          <w:bCs/>
          <w:szCs w:val="22"/>
        </w:rPr>
        <w:t>projets « stratégiques » consiste dans la capacité de ces derniers à « intercepter et à satisfaire les besoins des territoires impliqués dans le programme, en promouvant des actions susceptibles de produire des impacts dépassant les limites territoriales, produisant des effets significatifs à l'appui des politiques de développement régional et national de la rég</w:t>
      </w:r>
      <w:r w:rsidR="004702A9">
        <w:rPr>
          <w:rFonts w:cstheme="minorHAnsi"/>
          <w:bCs/>
          <w:szCs w:val="22"/>
        </w:rPr>
        <w:t xml:space="preserve">ion et des deux pays concernés </w:t>
      </w:r>
      <w:r w:rsidRPr="004768A1">
        <w:rPr>
          <w:rFonts w:cstheme="minorHAnsi"/>
          <w:bCs/>
          <w:szCs w:val="22"/>
        </w:rPr>
        <w:t xml:space="preserve">et en particulier l’approche </w:t>
      </w:r>
      <w:r w:rsidR="00A01B59" w:rsidRPr="004768A1">
        <w:rPr>
          <w:rFonts w:cstheme="minorHAnsi"/>
          <w:bCs/>
          <w:szCs w:val="22"/>
        </w:rPr>
        <w:t>in</w:t>
      </w:r>
      <w:r w:rsidR="00DA3478" w:rsidRPr="004768A1">
        <w:rPr>
          <w:rFonts w:cstheme="minorHAnsi"/>
          <w:bCs/>
          <w:szCs w:val="22"/>
        </w:rPr>
        <w:t>tégrée ou « </w:t>
      </w:r>
      <w:proofErr w:type="spellStart"/>
      <w:r w:rsidR="00DA3478" w:rsidRPr="004768A1">
        <w:rPr>
          <w:rFonts w:cstheme="minorHAnsi"/>
          <w:bCs/>
          <w:szCs w:val="22"/>
        </w:rPr>
        <w:t>m</w:t>
      </w:r>
      <w:r w:rsidR="00A01B59" w:rsidRPr="004768A1">
        <w:rPr>
          <w:rFonts w:cstheme="minorHAnsi"/>
          <w:bCs/>
          <w:szCs w:val="22"/>
        </w:rPr>
        <w:t>ainstreaming</w:t>
      </w:r>
      <w:proofErr w:type="spellEnd"/>
      <w:r w:rsidR="00DA3478" w:rsidRPr="004768A1">
        <w:rPr>
          <w:rFonts w:cstheme="minorHAnsi"/>
          <w:bCs/>
          <w:szCs w:val="22"/>
        </w:rPr>
        <w:t> »</w:t>
      </w:r>
      <w:r w:rsidR="00A01B59" w:rsidRPr="004768A1">
        <w:rPr>
          <w:rFonts w:cstheme="minorHAnsi"/>
          <w:bCs/>
          <w:szCs w:val="22"/>
        </w:rPr>
        <w:t xml:space="preserve">  et la capitalisation”.</w:t>
      </w:r>
      <w:r w:rsidR="00DA3478" w:rsidRPr="004768A1">
        <w:rPr>
          <w:szCs w:val="22"/>
        </w:rPr>
        <w:t xml:space="preserve"> </w:t>
      </w:r>
    </w:p>
    <w:p w14:paraId="0055F733" w14:textId="308981AF" w:rsidR="00DA3478" w:rsidRPr="002D37D9" w:rsidRDefault="00DA3478" w:rsidP="00DA3478">
      <w:pPr>
        <w:jc w:val="both"/>
        <w:rPr>
          <w:rFonts w:cstheme="minorHAnsi"/>
          <w:bCs/>
          <w:szCs w:val="22"/>
        </w:rPr>
      </w:pPr>
      <w:r w:rsidRPr="004768A1">
        <w:rPr>
          <w:rFonts w:cstheme="minorHAnsi"/>
          <w:bCs/>
          <w:szCs w:val="22"/>
        </w:rPr>
        <w:t>Malgré cette approche programmatique, les projets stratégiques présentés</w:t>
      </w:r>
      <w:r w:rsidR="006B2886">
        <w:rPr>
          <w:rFonts w:cstheme="minorHAnsi"/>
          <w:bCs/>
          <w:szCs w:val="22"/>
        </w:rPr>
        <w:t>,</w:t>
      </w:r>
      <w:r w:rsidRPr="004768A1">
        <w:rPr>
          <w:rFonts w:cstheme="minorHAnsi"/>
          <w:bCs/>
          <w:szCs w:val="22"/>
        </w:rPr>
        <w:t xml:space="preserve"> dans leur ensemble</w:t>
      </w:r>
      <w:r w:rsidR="006B2886">
        <w:rPr>
          <w:rFonts w:cstheme="minorHAnsi"/>
          <w:bCs/>
          <w:szCs w:val="22"/>
        </w:rPr>
        <w:t xml:space="preserve">, </w:t>
      </w:r>
      <w:r w:rsidRPr="004768A1">
        <w:rPr>
          <w:rFonts w:cstheme="minorHAnsi"/>
          <w:bCs/>
          <w:szCs w:val="22"/>
        </w:rPr>
        <w:t>ne répondent pas entièrement à cette exigence</w:t>
      </w:r>
      <w:r w:rsidR="006B2886">
        <w:rPr>
          <w:rFonts w:cstheme="minorHAnsi"/>
          <w:bCs/>
          <w:szCs w:val="22"/>
        </w:rPr>
        <w:t xml:space="preserve">, avec </w:t>
      </w:r>
      <w:r w:rsidRPr="004768A1">
        <w:rPr>
          <w:rFonts w:cstheme="minorHAnsi"/>
          <w:bCs/>
          <w:szCs w:val="22"/>
        </w:rPr>
        <w:t xml:space="preserve">des impacts </w:t>
      </w:r>
      <w:r w:rsidR="00BF654B" w:rsidRPr="004768A1">
        <w:rPr>
          <w:rFonts w:cstheme="minorHAnsi"/>
          <w:bCs/>
          <w:szCs w:val="22"/>
        </w:rPr>
        <w:t>territo</w:t>
      </w:r>
      <w:r w:rsidR="00BF654B">
        <w:rPr>
          <w:rFonts w:cstheme="minorHAnsi"/>
          <w:bCs/>
          <w:szCs w:val="22"/>
        </w:rPr>
        <w:t>riaux</w:t>
      </w:r>
      <w:r w:rsidR="003C3892">
        <w:rPr>
          <w:rFonts w:cstheme="minorHAnsi"/>
          <w:bCs/>
          <w:szCs w:val="22"/>
        </w:rPr>
        <w:t xml:space="preserve"> limités, qui ne</w:t>
      </w:r>
      <w:r w:rsidRPr="004768A1">
        <w:rPr>
          <w:rFonts w:cstheme="minorHAnsi"/>
          <w:bCs/>
          <w:szCs w:val="22"/>
        </w:rPr>
        <w:t xml:space="preserve"> </w:t>
      </w:r>
      <w:r w:rsidR="003C3892" w:rsidRPr="004768A1">
        <w:rPr>
          <w:rFonts w:cstheme="minorHAnsi"/>
          <w:bCs/>
          <w:szCs w:val="22"/>
        </w:rPr>
        <w:t>contribu</w:t>
      </w:r>
      <w:r w:rsidR="003C3892">
        <w:rPr>
          <w:rFonts w:cstheme="minorHAnsi"/>
          <w:bCs/>
          <w:szCs w:val="22"/>
        </w:rPr>
        <w:t xml:space="preserve">ent </w:t>
      </w:r>
      <w:r w:rsidRPr="004768A1">
        <w:rPr>
          <w:rFonts w:cstheme="minorHAnsi"/>
          <w:bCs/>
          <w:szCs w:val="22"/>
        </w:rPr>
        <w:t>pas de manière innovante et significative</w:t>
      </w:r>
      <w:r w:rsidR="00F86A5F">
        <w:rPr>
          <w:rFonts w:cstheme="minorHAnsi"/>
          <w:bCs/>
          <w:szCs w:val="22"/>
        </w:rPr>
        <w:t xml:space="preserve"> à </w:t>
      </w:r>
      <w:r w:rsidR="003C3892">
        <w:rPr>
          <w:rFonts w:cstheme="minorHAnsi"/>
          <w:bCs/>
          <w:szCs w:val="22"/>
        </w:rPr>
        <w:t xml:space="preserve">engager des autres territoires et </w:t>
      </w:r>
      <w:r w:rsidR="00F86A5F">
        <w:rPr>
          <w:rFonts w:cstheme="minorHAnsi"/>
          <w:bCs/>
          <w:szCs w:val="22"/>
        </w:rPr>
        <w:t xml:space="preserve">à déterminer </w:t>
      </w:r>
      <w:r w:rsidRPr="004768A1">
        <w:rPr>
          <w:rFonts w:cstheme="minorHAnsi"/>
          <w:bCs/>
          <w:szCs w:val="22"/>
        </w:rPr>
        <w:t xml:space="preserve">des contributions significatives </w:t>
      </w:r>
      <w:r w:rsidR="00F86A5F">
        <w:rPr>
          <w:rFonts w:cstheme="minorHAnsi"/>
          <w:bCs/>
          <w:szCs w:val="22"/>
        </w:rPr>
        <w:t xml:space="preserve">de </w:t>
      </w:r>
      <w:proofErr w:type="spellStart"/>
      <w:r w:rsidR="00F86A5F">
        <w:rPr>
          <w:rFonts w:cstheme="minorHAnsi"/>
          <w:bCs/>
          <w:szCs w:val="22"/>
        </w:rPr>
        <w:t>mainstreaming</w:t>
      </w:r>
      <w:proofErr w:type="spellEnd"/>
      <w:r w:rsidR="00F86A5F">
        <w:rPr>
          <w:rFonts w:cstheme="minorHAnsi"/>
          <w:bCs/>
          <w:szCs w:val="22"/>
        </w:rPr>
        <w:t xml:space="preserve"> sur </w:t>
      </w:r>
      <w:r w:rsidRPr="004768A1">
        <w:rPr>
          <w:rFonts w:cstheme="minorHAnsi"/>
          <w:bCs/>
          <w:szCs w:val="22"/>
        </w:rPr>
        <w:t xml:space="preserve">les politiques sectorielles. </w:t>
      </w:r>
    </w:p>
    <w:p w14:paraId="2DBEB049" w14:textId="7348F760" w:rsidR="00FF76EA" w:rsidRDefault="00FF76EA" w:rsidP="00984014">
      <w:pPr>
        <w:jc w:val="both"/>
      </w:pPr>
      <w:r>
        <w:t>Les projets sont en cours de réalisation</w:t>
      </w:r>
      <w:r>
        <w:rPr>
          <w:rStyle w:val="Rimandonotaapidipagina"/>
        </w:rPr>
        <w:footnoteReference w:id="10"/>
      </w:r>
      <w:r>
        <w:t xml:space="preserve"> mai</w:t>
      </w:r>
      <w:r w:rsidR="00F86A5F">
        <w:t>s on peut remarquer le</w:t>
      </w:r>
      <w:r w:rsidR="003D7524">
        <w:t>s points</w:t>
      </w:r>
      <w:r w:rsidR="00F86A5F">
        <w:t xml:space="preserve"> suivant</w:t>
      </w:r>
      <w:r w:rsidR="003D7524">
        <w:t>s</w:t>
      </w:r>
      <w:r>
        <w:t xml:space="preserve">: </w:t>
      </w:r>
    </w:p>
    <w:p w14:paraId="3986CDEA" w14:textId="22263D45" w:rsidR="005459DF" w:rsidRDefault="00F554E1" w:rsidP="005459DF">
      <w:pPr>
        <w:pStyle w:val="Testonotaapidipagina"/>
        <w:numPr>
          <w:ilvl w:val="0"/>
          <w:numId w:val="10"/>
        </w:numPr>
        <w:jc w:val="both"/>
        <w:rPr>
          <w:rFonts w:cstheme="minorHAnsi"/>
          <w:sz w:val="22"/>
          <w:szCs w:val="22"/>
        </w:rPr>
      </w:pPr>
      <w:r>
        <w:rPr>
          <w:rFonts w:cstheme="minorHAnsi"/>
          <w:sz w:val="22"/>
          <w:szCs w:val="22"/>
        </w:rPr>
        <w:lastRenderedPageBreak/>
        <w:t>l</w:t>
      </w:r>
      <w:r w:rsidR="005459DF">
        <w:rPr>
          <w:rFonts w:cstheme="minorHAnsi"/>
          <w:sz w:val="22"/>
          <w:szCs w:val="22"/>
        </w:rPr>
        <w:t>a duré de la phase d’</w:t>
      </w:r>
      <w:r w:rsidR="00FE28E4">
        <w:rPr>
          <w:rFonts w:cstheme="minorHAnsi"/>
          <w:sz w:val="22"/>
          <w:szCs w:val="22"/>
        </w:rPr>
        <w:t>évaluation</w:t>
      </w:r>
      <w:r w:rsidR="005459DF">
        <w:rPr>
          <w:rFonts w:cstheme="minorHAnsi"/>
          <w:sz w:val="22"/>
          <w:szCs w:val="22"/>
        </w:rPr>
        <w:t xml:space="preserve"> des projets : pour le 1° </w:t>
      </w:r>
      <w:r w:rsidR="00055E2B">
        <w:rPr>
          <w:rFonts w:cstheme="minorHAnsi"/>
          <w:sz w:val="22"/>
          <w:szCs w:val="22"/>
        </w:rPr>
        <w:t>appel</w:t>
      </w:r>
      <w:r w:rsidR="005459DF">
        <w:rPr>
          <w:rFonts w:cstheme="minorHAnsi"/>
          <w:sz w:val="22"/>
          <w:szCs w:val="22"/>
        </w:rPr>
        <w:t xml:space="preserve"> à projets standards 2</w:t>
      </w:r>
      <w:r w:rsidR="00FD6809">
        <w:rPr>
          <w:rFonts w:cstheme="minorHAnsi"/>
          <w:sz w:val="22"/>
          <w:szCs w:val="22"/>
        </w:rPr>
        <w:t xml:space="preserve">6 </w:t>
      </w:r>
      <w:r w:rsidR="005459DF">
        <w:rPr>
          <w:rFonts w:cstheme="minorHAnsi"/>
          <w:sz w:val="22"/>
          <w:szCs w:val="22"/>
        </w:rPr>
        <w:t xml:space="preserve">mois du lancement </w:t>
      </w:r>
      <w:r w:rsidR="003D7524">
        <w:rPr>
          <w:rFonts w:cstheme="minorHAnsi"/>
          <w:sz w:val="22"/>
          <w:szCs w:val="22"/>
        </w:rPr>
        <w:t>à l’admission</w:t>
      </w:r>
      <w:r w:rsidR="005459DF">
        <w:rPr>
          <w:rFonts w:cstheme="minorHAnsi"/>
          <w:sz w:val="22"/>
          <w:szCs w:val="22"/>
        </w:rPr>
        <w:t xml:space="preserve"> au financement</w:t>
      </w:r>
      <w:r w:rsidR="00BF654B">
        <w:rPr>
          <w:rFonts w:cstheme="minorHAnsi"/>
          <w:sz w:val="22"/>
          <w:szCs w:val="22"/>
        </w:rPr>
        <w:t xml:space="preserve"> (2 étapes)</w:t>
      </w:r>
      <w:r w:rsidR="005459DF">
        <w:rPr>
          <w:rFonts w:cstheme="minorHAnsi"/>
          <w:sz w:val="22"/>
          <w:szCs w:val="22"/>
        </w:rPr>
        <w:t>, 1</w:t>
      </w:r>
      <w:r w:rsidR="00FF76EA">
        <w:rPr>
          <w:rFonts w:cstheme="minorHAnsi"/>
          <w:sz w:val="22"/>
          <w:szCs w:val="22"/>
        </w:rPr>
        <w:t xml:space="preserve">5 mois </w:t>
      </w:r>
      <w:r w:rsidR="005459DF">
        <w:rPr>
          <w:rFonts w:cstheme="minorHAnsi"/>
          <w:sz w:val="22"/>
          <w:szCs w:val="22"/>
        </w:rPr>
        <w:t xml:space="preserve"> pour l’appel </w:t>
      </w:r>
      <w:r w:rsidR="00FF76EA">
        <w:rPr>
          <w:rFonts w:cstheme="minorHAnsi"/>
          <w:sz w:val="22"/>
          <w:szCs w:val="22"/>
        </w:rPr>
        <w:t>stratégique</w:t>
      </w:r>
      <w:r w:rsidR="00F86A5F">
        <w:rPr>
          <w:rFonts w:cstheme="minorHAnsi"/>
          <w:sz w:val="22"/>
          <w:szCs w:val="22"/>
        </w:rPr>
        <w:t xml:space="preserve"> (1 étape);</w:t>
      </w:r>
      <w:r w:rsidR="005459DF">
        <w:rPr>
          <w:rFonts w:cstheme="minorHAnsi"/>
          <w:sz w:val="22"/>
          <w:szCs w:val="22"/>
        </w:rPr>
        <w:t xml:space="preserve"> </w:t>
      </w:r>
    </w:p>
    <w:p w14:paraId="43DB9FE3" w14:textId="7E077622" w:rsidR="00F519E7" w:rsidRDefault="00F86A5F" w:rsidP="005459DF">
      <w:pPr>
        <w:pStyle w:val="Testonotaapidipagina"/>
        <w:numPr>
          <w:ilvl w:val="0"/>
          <w:numId w:val="10"/>
        </w:numPr>
        <w:jc w:val="both"/>
        <w:rPr>
          <w:sz w:val="22"/>
          <w:szCs w:val="22"/>
        </w:rPr>
      </w:pPr>
      <w:r>
        <w:rPr>
          <w:sz w:val="22"/>
          <w:szCs w:val="22"/>
        </w:rPr>
        <w:t>l</w:t>
      </w:r>
      <w:r w:rsidR="00FF76EA">
        <w:rPr>
          <w:sz w:val="22"/>
          <w:szCs w:val="22"/>
        </w:rPr>
        <w:t>e re</w:t>
      </w:r>
      <w:r w:rsidR="00F519E7">
        <w:rPr>
          <w:sz w:val="22"/>
          <w:szCs w:val="22"/>
        </w:rPr>
        <w:t>tard accumulé dans la plupart des projets standard pas entièrement imputable à la pandémie du COVID 19</w:t>
      </w:r>
      <w:r w:rsidR="00F75312">
        <w:rPr>
          <w:sz w:val="22"/>
          <w:szCs w:val="22"/>
        </w:rPr>
        <w:t> ;</w:t>
      </w:r>
    </w:p>
    <w:p w14:paraId="5CAED0A2" w14:textId="77AF3AF6" w:rsidR="005459DF" w:rsidRPr="003D7524" w:rsidRDefault="00F519E7" w:rsidP="00984014">
      <w:pPr>
        <w:pStyle w:val="Testonotaapidipagina"/>
        <w:numPr>
          <w:ilvl w:val="0"/>
          <w:numId w:val="10"/>
        </w:numPr>
        <w:jc w:val="both"/>
        <w:rPr>
          <w:sz w:val="22"/>
          <w:szCs w:val="22"/>
        </w:rPr>
      </w:pPr>
      <w:r>
        <w:rPr>
          <w:sz w:val="22"/>
          <w:szCs w:val="22"/>
        </w:rPr>
        <w:t xml:space="preserve"> </w:t>
      </w:r>
      <w:r w:rsidR="00F75312" w:rsidRPr="00BA5950">
        <w:rPr>
          <w:rFonts w:cstheme="minorHAnsi"/>
          <w:sz w:val="22"/>
          <w:szCs w:val="22"/>
        </w:rPr>
        <w:t>l</w:t>
      </w:r>
      <w:r w:rsidR="00DA3478" w:rsidRPr="00BA5950">
        <w:rPr>
          <w:rFonts w:cstheme="minorHAnsi"/>
          <w:sz w:val="22"/>
          <w:szCs w:val="22"/>
        </w:rPr>
        <w:t>a</w:t>
      </w:r>
      <w:r w:rsidRPr="00BA5950">
        <w:rPr>
          <w:rFonts w:cstheme="minorHAnsi"/>
          <w:sz w:val="22"/>
          <w:szCs w:val="22"/>
        </w:rPr>
        <w:t xml:space="preserve"> faible valeur stratégique réelle des projets financés dans le cadre de l’appel </w:t>
      </w:r>
      <w:r w:rsidR="00FE28E4" w:rsidRPr="00BA5950">
        <w:rPr>
          <w:rFonts w:cstheme="minorHAnsi"/>
          <w:sz w:val="22"/>
          <w:szCs w:val="22"/>
        </w:rPr>
        <w:t>spécifiques.</w:t>
      </w:r>
    </w:p>
    <w:p w14:paraId="3962F928" w14:textId="77777777" w:rsidR="008E6EC4" w:rsidRDefault="008E6EC4" w:rsidP="009A78FC">
      <w:pPr>
        <w:jc w:val="both"/>
      </w:pPr>
    </w:p>
    <w:p w14:paraId="792EAF6D" w14:textId="793219C9" w:rsidR="00E02FFF" w:rsidRPr="00F07A9B" w:rsidRDefault="00F42C80" w:rsidP="009A78FC">
      <w:pPr>
        <w:jc w:val="both"/>
        <w:rPr>
          <w:rFonts w:eastAsia="Times New Roman" w:cs="Times New Roman"/>
          <w:sz w:val="18"/>
          <w:szCs w:val="18"/>
        </w:rPr>
      </w:pPr>
      <w:r w:rsidRPr="00F07A9B">
        <w:rPr>
          <w:rFonts w:eastAsia="Times New Roman" w:cs="Times New Roman"/>
          <w:sz w:val="18"/>
          <w:szCs w:val="18"/>
        </w:rPr>
        <w:t>PROGRAMME IEV ITALIE TUNISIE 2014-2020</w:t>
      </w:r>
    </w:p>
    <w:p w14:paraId="01681B93" w14:textId="77777777" w:rsidR="005F7C17" w:rsidRDefault="005F7C17" w:rsidP="009A78FC">
      <w:pPr>
        <w:jc w:val="both"/>
      </w:pPr>
    </w:p>
    <w:tbl>
      <w:tblPr>
        <w:tblStyle w:val="Grigliatabella"/>
        <w:tblW w:w="0" w:type="auto"/>
        <w:tblLook w:val="04A0" w:firstRow="1" w:lastRow="0" w:firstColumn="1" w:lastColumn="0" w:noHBand="0" w:noVBand="1"/>
      </w:tblPr>
      <w:tblGrid>
        <w:gridCol w:w="1954"/>
        <w:gridCol w:w="1954"/>
        <w:gridCol w:w="1954"/>
        <w:gridCol w:w="1955"/>
        <w:gridCol w:w="1955"/>
      </w:tblGrid>
      <w:tr w:rsidR="00BB3BAA" w:rsidRPr="0022087C" w14:paraId="1A5E51F3" w14:textId="77777777" w:rsidTr="003101E8">
        <w:tc>
          <w:tcPr>
            <w:tcW w:w="1954" w:type="dxa"/>
            <w:shd w:val="clear" w:color="auto" w:fill="4F81BD" w:themeFill="accent1"/>
          </w:tcPr>
          <w:p w14:paraId="637D6698" w14:textId="77777777" w:rsidR="00BB3BAA" w:rsidRPr="0022087C" w:rsidRDefault="00BB3BAA" w:rsidP="00BB3BAA">
            <w:pPr>
              <w:rPr>
                <w:i/>
                <w:sz w:val="18"/>
                <w:szCs w:val="18"/>
              </w:rPr>
            </w:pPr>
          </w:p>
        </w:tc>
        <w:tc>
          <w:tcPr>
            <w:tcW w:w="1954" w:type="dxa"/>
            <w:shd w:val="clear" w:color="auto" w:fill="4F81BD" w:themeFill="accent1"/>
            <w:vAlign w:val="center"/>
          </w:tcPr>
          <w:p w14:paraId="5CD5AFA8" w14:textId="77777777" w:rsidR="00BB3BAA" w:rsidRPr="0022087C" w:rsidRDefault="00BB3BAA" w:rsidP="00BB3BAA">
            <w:pPr>
              <w:rPr>
                <w:i/>
                <w:color w:val="FFFFFF" w:themeColor="background1"/>
                <w:sz w:val="18"/>
                <w:szCs w:val="18"/>
              </w:rPr>
            </w:pPr>
          </w:p>
          <w:p w14:paraId="0CC0A317" w14:textId="63842567" w:rsidR="00BB3BAA" w:rsidRPr="0022087C" w:rsidRDefault="00BB3BAA" w:rsidP="00BB3BAA">
            <w:pPr>
              <w:rPr>
                <w:i/>
                <w:color w:val="FFFFFF" w:themeColor="background1"/>
                <w:sz w:val="18"/>
                <w:szCs w:val="18"/>
              </w:rPr>
            </w:pPr>
            <w:r>
              <w:rPr>
                <w:i/>
                <w:color w:val="FFFFFF" w:themeColor="background1"/>
                <w:sz w:val="18"/>
                <w:szCs w:val="18"/>
              </w:rPr>
              <w:t>OT</w:t>
            </w:r>
            <w:r w:rsidRPr="0022087C">
              <w:rPr>
                <w:i/>
                <w:color w:val="FFFFFF" w:themeColor="background1"/>
                <w:sz w:val="18"/>
                <w:szCs w:val="18"/>
              </w:rPr>
              <w:t xml:space="preserve">1 </w:t>
            </w:r>
          </w:p>
          <w:p w14:paraId="553D61C7" w14:textId="77777777" w:rsidR="00BB3BAA" w:rsidRPr="0022087C" w:rsidRDefault="00BB3BAA" w:rsidP="00BB3BAA">
            <w:pPr>
              <w:rPr>
                <w:i/>
                <w:color w:val="FFFFFF" w:themeColor="background1"/>
                <w:sz w:val="18"/>
                <w:szCs w:val="18"/>
              </w:rPr>
            </w:pPr>
          </w:p>
        </w:tc>
        <w:tc>
          <w:tcPr>
            <w:tcW w:w="1954" w:type="dxa"/>
            <w:shd w:val="clear" w:color="auto" w:fill="4F81BD" w:themeFill="accent1"/>
            <w:vAlign w:val="center"/>
          </w:tcPr>
          <w:p w14:paraId="3F86FFEE" w14:textId="03FB3F2E" w:rsidR="00BB3BAA" w:rsidRPr="0022087C" w:rsidRDefault="00BB3BAA" w:rsidP="00BB3BAA">
            <w:pPr>
              <w:rPr>
                <w:i/>
                <w:color w:val="FFFFFF" w:themeColor="background1"/>
                <w:sz w:val="18"/>
                <w:szCs w:val="18"/>
              </w:rPr>
            </w:pPr>
            <w:r>
              <w:rPr>
                <w:i/>
                <w:color w:val="FFFFFF" w:themeColor="background1"/>
                <w:sz w:val="18"/>
                <w:szCs w:val="18"/>
              </w:rPr>
              <w:t>OT2</w:t>
            </w:r>
          </w:p>
          <w:p w14:paraId="2EDCE084" w14:textId="79474DF7" w:rsidR="00BB3BAA" w:rsidRPr="0022087C" w:rsidRDefault="00BB3BAA" w:rsidP="00BB3BAA">
            <w:pPr>
              <w:rPr>
                <w:i/>
                <w:color w:val="FFFFFF" w:themeColor="background1"/>
                <w:sz w:val="18"/>
                <w:szCs w:val="18"/>
              </w:rPr>
            </w:pPr>
          </w:p>
        </w:tc>
        <w:tc>
          <w:tcPr>
            <w:tcW w:w="1955" w:type="dxa"/>
            <w:shd w:val="clear" w:color="auto" w:fill="4F81BD" w:themeFill="accent1"/>
            <w:vAlign w:val="center"/>
          </w:tcPr>
          <w:p w14:paraId="7BE20305" w14:textId="79950614" w:rsidR="00BB3BAA" w:rsidRPr="0022087C" w:rsidRDefault="00BB3BAA" w:rsidP="00BB3BAA">
            <w:pPr>
              <w:rPr>
                <w:i/>
                <w:color w:val="FFFFFF" w:themeColor="background1"/>
                <w:sz w:val="18"/>
                <w:szCs w:val="18"/>
              </w:rPr>
            </w:pPr>
            <w:r>
              <w:rPr>
                <w:i/>
                <w:color w:val="FFFFFF" w:themeColor="background1"/>
                <w:sz w:val="18"/>
                <w:szCs w:val="18"/>
              </w:rPr>
              <w:t>OT3</w:t>
            </w:r>
            <w:r w:rsidRPr="0022087C">
              <w:rPr>
                <w:i/>
                <w:color w:val="FFFFFF" w:themeColor="background1"/>
                <w:sz w:val="18"/>
                <w:szCs w:val="18"/>
              </w:rPr>
              <w:t xml:space="preserve"> </w:t>
            </w:r>
          </w:p>
          <w:p w14:paraId="6A9DFDE5" w14:textId="39152966" w:rsidR="00BB3BAA" w:rsidRPr="0022087C" w:rsidRDefault="00BB3BAA" w:rsidP="00BB3BAA">
            <w:pPr>
              <w:rPr>
                <w:i/>
                <w:color w:val="FFFFFF" w:themeColor="background1"/>
                <w:sz w:val="18"/>
                <w:szCs w:val="18"/>
              </w:rPr>
            </w:pPr>
          </w:p>
        </w:tc>
        <w:tc>
          <w:tcPr>
            <w:tcW w:w="1955" w:type="dxa"/>
            <w:shd w:val="clear" w:color="auto" w:fill="4F81BD" w:themeFill="accent1"/>
            <w:vAlign w:val="center"/>
          </w:tcPr>
          <w:p w14:paraId="4A222125" w14:textId="77777777" w:rsidR="00BB3BAA" w:rsidRPr="0022087C" w:rsidRDefault="00BB3BAA" w:rsidP="00BB3BAA">
            <w:pPr>
              <w:rPr>
                <w:i/>
                <w:color w:val="FFFFFF" w:themeColor="background1"/>
                <w:sz w:val="18"/>
                <w:szCs w:val="18"/>
              </w:rPr>
            </w:pPr>
            <w:r w:rsidRPr="0022087C">
              <w:rPr>
                <w:i/>
                <w:color w:val="FFFFFF" w:themeColor="background1"/>
                <w:sz w:val="18"/>
                <w:szCs w:val="18"/>
              </w:rPr>
              <w:t>Total</w:t>
            </w:r>
          </w:p>
        </w:tc>
      </w:tr>
      <w:tr w:rsidR="00BB3BAA" w:rsidRPr="0022087C" w14:paraId="35AA2708" w14:textId="77777777" w:rsidTr="00BB3BAA">
        <w:tc>
          <w:tcPr>
            <w:tcW w:w="1954" w:type="dxa"/>
          </w:tcPr>
          <w:p w14:paraId="2F7A9206" w14:textId="77777777" w:rsidR="00BB3BAA" w:rsidRPr="0022087C" w:rsidRDefault="00BB3BAA" w:rsidP="00BB3BAA">
            <w:pPr>
              <w:rPr>
                <w:sz w:val="18"/>
                <w:szCs w:val="18"/>
              </w:rPr>
            </w:pPr>
            <w:r w:rsidRPr="0022087C">
              <w:rPr>
                <w:sz w:val="18"/>
                <w:szCs w:val="18"/>
              </w:rPr>
              <w:t>Allocation du POC (UE)</w:t>
            </w:r>
          </w:p>
        </w:tc>
        <w:tc>
          <w:tcPr>
            <w:tcW w:w="1954" w:type="dxa"/>
          </w:tcPr>
          <w:p w14:paraId="29291ACE" w14:textId="78EEE8FA" w:rsidR="00BB3BAA" w:rsidRPr="0022087C" w:rsidRDefault="00BB3BAA" w:rsidP="00BB3BAA">
            <w:pPr>
              <w:rPr>
                <w:sz w:val="18"/>
                <w:szCs w:val="18"/>
              </w:rPr>
            </w:pPr>
            <w:r>
              <w:rPr>
                <w:sz w:val="18"/>
                <w:szCs w:val="18"/>
              </w:rPr>
              <w:t>€6.003.868</w:t>
            </w:r>
          </w:p>
        </w:tc>
        <w:tc>
          <w:tcPr>
            <w:tcW w:w="1954" w:type="dxa"/>
          </w:tcPr>
          <w:p w14:paraId="28F61D0A" w14:textId="006CC146" w:rsidR="00BB3BAA" w:rsidRPr="0022087C" w:rsidRDefault="00BB3BAA" w:rsidP="00BB3BAA">
            <w:pPr>
              <w:rPr>
                <w:sz w:val="18"/>
                <w:szCs w:val="18"/>
                <w:lang w:val="it-IT"/>
              </w:rPr>
            </w:pPr>
            <w:r w:rsidRPr="0022087C">
              <w:rPr>
                <w:sz w:val="18"/>
                <w:szCs w:val="18"/>
                <w:lang w:val="it-IT"/>
              </w:rPr>
              <w:t xml:space="preserve">€ </w:t>
            </w:r>
            <w:r>
              <w:rPr>
                <w:sz w:val="18"/>
                <w:szCs w:val="18"/>
                <w:lang w:val="it-IT"/>
              </w:rPr>
              <w:t>12.007.735</w:t>
            </w:r>
          </w:p>
          <w:p w14:paraId="04C4D810" w14:textId="77777777" w:rsidR="00BB3BAA" w:rsidRPr="0022087C" w:rsidRDefault="00BB3BAA" w:rsidP="00BB3BAA">
            <w:pPr>
              <w:rPr>
                <w:sz w:val="18"/>
                <w:szCs w:val="18"/>
              </w:rPr>
            </w:pPr>
          </w:p>
        </w:tc>
        <w:tc>
          <w:tcPr>
            <w:tcW w:w="1955" w:type="dxa"/>
          </w:tcPr>
          <w:p w14:paraId="0EA17F9C" w14:textId="65172D64" w:rsidR="00BB3BAA" w:rsidRPr="0022087C" w:rsidRDefault="00BB3BAA" w:rsidP="00BB3BAA">
            <w:pPr>
              <w:rPr>
                <w:sz w:val="18"/>
                <w:szCs w:val="18"/>
                <w:lang w:val="it-IT"/>
              </w:rPr>
            </w:pPr>
            <w:r w:rsidRPr="0022087C">
              <w:rPr>
                <w:sz w:val="18"/>
                <w:szCs w:val="18"/>
                <w:lang w:val="it-IT"/>
              </w:rPr>
              <w:t xml:space="preserve">€ </w:t>
            </w:r>
            <w:r>
              <w:rPr>
                <w:sz w:val="18"/>
                <w:szCs w:val="18"/>
                <w:lang w:val="it-IT"/>
              </w:rPr>
              <w:t>12.007735</w:t>
            </w:r>
          </w:p>
          <w:p w14:paraId="64A93413" w14:textId="77777777" w:rsidR="00BB3BAA" w:rsidRPr="0022087C" w:rsidRDefault="00BB3BAA" w:rsidP="00BB3BAA">
            <w:pPr>
              <w:rPr>
                <w:sz w:val="18"/>
                <w:szCs w:val="18"/>
              </w:rPr>
            </w:pPr>
          </w:p>
        </w:tc>
        <w:tc>
          <w:tcPr>
            <w:tcW w:w="1955" w:type="dxa"/>
          </w:tcPr>
          <w:p w14:paraId="4A3FA3C7" w14:textId="4535468B" w:rsidR="00BB3BAA" w:rsidRPr="0022087C" w:rsidRDefault="00BB3BAA" w:rsidP="00BB3BAA">
            <w:pPr>
              <w:rPr>
                <w:sz w:val="18"/>
                <w:szCs w:val="18"/>
                <w:lang w:val="it-IT"/>
              </w:rPr>
            </w:pPr>
            <w:r w:rsidRPr="0022087C">
              <w:rPr>
                <w:sz w:val="18"/>
                <w:szCs w:val="18"/>
                <w:lang w:val="it-IT"/>
              </w:rPr>
              <w:t xml:space="preserve">€ </w:t>
            </w:r>
            <w:r>
              <w:rPr>
                <w:sz w:val="18"/>
                <w:szCs w:val="18"/>
                <w:lang w:val="it-IT"/>
              </w:rPr>
              <w:t>30.019.338</w:t>
            </w:r>
          </w:p>
          <w:p w14:paraId="067AF232" w14:textId="77777777" w:rsidR="00BB3BAA" w:rsidRPr="0022087C" w:rsidRDefault="00BB3BAA" w:rsidP="00BB3BAA">
            <w:pPr>
              <w:rPr>
                <w:sz w:val="18"/>
                <w:szCs w:val="18"/>
              </w:rPr>
            </w:pPr>
          </w:p>
        </w:tc>
      </w:tr>
      <w:tr w:rsidR="00BB3BAA" w:rsidRPr="0022087C" w14:paraId="406B12E4" w14:textId="77777777" w:rsidTr="00BB3BAA">
        <w:tc>
          <w:tcPr>
            <w:tcW w:w="1954" w:type="dxa"/>
          </w:tcPr>
          <w:p w14:paraId="5BA82097" w14:textId="77777777" w:rsidR="00BB3BAA" w:rsidRPr="0022087C" w:rsidRDefault="00BB3BAA" w:rsidP="00BB3BAA">
            <w:pPr>
              <w:rPr>
                <w:sz w:val="18"/>
                <w:szCs w:val="18"/>
              </w:rPr>
            </w:pPr>
            <w:r w:rsidRPr="0022087C">
              <w:rPr>
                <w:sz w:val="18"/>
                <w:szCs w:val="18"/>
              </w:rPr>
              <w:t xml:space="preserve">% allocation </w:t>
            </w:r>
          </w:p>
        </w:tc>
        <w:tc>
          <w:tcPr>
            <w:tcW w:w="1954" w:type="dxa"/>
          </w:tcPr>
          <w:p w14:paraId="5BF73405" w14:textId="27E02DF2" w:rsidR="00BB3BAA" w:rsidRPr="0022087C" w:rsidRDefault="00BB3BAA" w:rsidP="00BB3BAA">
            <w:pPr>
              <w:rPr>
                <w:sz w:val="18"/>
                <w:szCs w:val="18"/>
              </w:rPr>
            </w:pPr>
            <w:r>
              <w:rPr>
                <w:sz w:val="18"/>
                <w:szCs w:val="18"/>
              </w:rPr>
              <w:t>20%</w:t>
            </w:r>
          </w:p>
        </w:tc>
        <w:tc>
          <w:tcPr>
            <w:tcW w:w="1954" w:type="dxa"/>
          </w:tcPr>
          <w:p w14:paraId="359384A0" w14:textId="5E4F6285" w:rsidR="00BB3BAA" w:rsidRPr="0022087C" w:rsidRDefault="00BB3BAA" w:rsidP="00BB3BAA">
            <w:pPr>
              <w:rPr>
                <w:sz w:val="18"/>
                <w:szCs w:val="18"/>
              </w:rPr>
            </w:pPr>
            <w:r>
              <w:rPr>
                <w:sz w:val="18"/>
                <w:szCs w:val="18"/>
              </w:rPr>
              <w:t>40%</w:t>
            </w:r>
          </w:p>
        </w:tc>
        <w:tc>
          <w:tcPr>
            <w:tcW w:w="1955" w:type="dxa"/>
          </w:tcPr>
          <w:p w14:paraId="7753BBAC" w14:textId="3517BEA0" w:rsidR="00BB3BAA" w:rsidRPr="0022087C" w:rsidRDefault="00831DA0" w:rsidP="00BB3BAA">
            <w:pPr>
              <w:rPr>
                <w:sz w:val="18"/>
                <w:szCs w:val="18"/>
              </w:rPr>
            </w:pPr>
            <w:r>
              <w:rPr>
                <w:sz w:val="18"/>
                <w:szCs w:val="18"/>
              </w:rPr>
              <w:t>20%</w:t>
            </w:r>
          </w:p>
        </w:tc>
        <w:tc>
          <w:tcPr>
            <w:tcW w:w="1955" w:type="dxa"/>
          </w:tcPr>
          <w:p w14:paraId="6253B59C" w14:textId="52F65ABD" w:rsidR="00BB3BAA" w:rsidRPr="0022087C" w:rsidRDefault="00BB3BAA" w:rsidP="00BB3BAA">
            <w:pPr>
              <w:rPr>
                <w:sz w:val="18"/>
                <w:szCs w:val="18"/>
              </w:rPr>
            </w:pPr>
          </w:p>
        </w:tc>
      </w:tr>
      <w:tr w:rsidR="00BB3BAA" w:rsidRPr="0022087C" w14:paraId="6AE842B2" w14:textId="77777777" w:rsidTr="00BB3BAA">
        <w:tc>
          <w:tcPr>
            <w:tcW w:w="1954" w:type="dxa"/>
          </w:tcPr>
          <w:p w14:paraId="66C079E9" w14:textId="5C83A28C" w:rsidR="00BB3BAA" w:rsidRPr="0022087C" w:rsidRDefault="00BB3BAA" w:rsidP="00137C23">
            <w:pPr>
              <w:rPr>
                <w:sz w:val="18"/>
                <w:szCs w:val="18"/>
              </w:rPr>
            </w:pPr>
            <w:r w:rsidRPr="0022087C">
              <w:rPr>
                <w:sz w:val="18"/>
                <w:szCs w:val="18"/>
              </w:rPr>
              <w:t xml:space="preserve">Allocation attribué par les appelles </w:t>
            </w:r>
            <w:r w:rsidR="00880622">
              <w:rPr>
                <w:sz w:val="18"/>
                <w:szCs w:val="18"/>
              </w:rPr>
              <w:t>à p</w:t>
            </w:r>
            <w:r w:rsidR="00137C23">
              <w:rPr>
                <w:sz w:val="18"/>
                <w:szCs w:val="18"/>
              </w:rPr>
              <w:t>rojets</w:t>
            </w:r>
          </w:p>
        </w:tc>
        <w:tc>
          <w:tcPr>
            <w:tcW w:w="1954" w:type="dxa"/>
          </w:tcPr>
          <w:p w14:paraId="22BD3C6D" w14:textId="604866EA" w:rsidR="00BB3BAA" w:rsidRPr="0022087C" w:rsidRDefault="00831DA0" w:rsidP="00BB3BAA">
            <w:pPr>
              <w:rPr>
                <w:sz w:val="18"/>
                <w:szCs w:val="18"/>
              </w:rPr>
            </w:pPr>
            <w:r>
              <w:rPr>
                <w:sz w:val="18"/>
                <w:szCs w:val="18"/>
              </w:rPr>
              <w:t>€ 6.664.962</w:t>
            </w:r>
          </w:p>
        </w:tc>
        <w:tc>
          <w:tcPr>
            <w:tcW w:w="1954" w:type="dxa"/>
          </w:tcPr>
          <w:p w14:paraId="634FCBD6" w14:textId="638A27D4" w:rsidR="00831DA0" w:rsidRPr="00831DA0" w:rsidRDefault="00831DA0" w:rsidP="00831DA0">
            <w:pPr>
              <w:rPr>
                <w:sz w:val="18"/>
                <w:szCs w:val="18"/>
              </w:rPr>
            </w:pPr>
            <w:r>
              <w:rPr>
                <w:sz w:val="18"/>
                <w:szCs w:val="18"/>
              </w:rPr>
              <w:t xml:space="preserve">€ </w:t>
            </w:r>
            <w:r w:rsidRPr="00831DA0">
              <w:rPr>
                <w:sz w:val="18"/>
                <w:szCs w:val="18"/>
              </w:rPr>
              <w:t>13.602.525</w:t>
            </w:r>
          </w:p>
          <w:p w14:paraId="03C69799" w14:textId="77777777" w:rsidR="00BB3BAA" w:rsidRPr="0022087C" w:rsidRDefault="00BB3BAA" w:rsidP="00BB3BAA">
            <w:pPr>
              <w:rPr>
                <w:sz w:val="18"/>
                <w:szCs w:val="18"/>
              </w:rPr>
            </w:pPr>
          </w:p>
        </w:tc>
        <w:tc>
          <w:tcPr>
            <w:tcW w:w="1955" w:type="dxa"/>
          </w:tcPr>
          <w:p w14:paraId="097FFD8D" w14:textId="0E2EBE60" w:rsidR="00831DA0" w:rsidRPr="00831DA0" w:rsidRDefault="00831DA0" w:rsidP="00831DA0">
            <w:pPr>
              <w:rPr>
                <w:sz w:val="18"/>
                <w:szCs w:val="18"/>
              </w:rPr>
            </w:pPr>
            <w:r w:rsidRPr="00831DA0">
              <w:rPr>
                <w:sz w:val="18"/>
                <w:szCs w:val="18"/>
              </w:rPr>
              <w:t>€ 9.789.438</w:t>
            </w:r>
          </w:p>
          <w:p w14:paraId="7D260A70" w14:textId="77777777" w:rsidR="00BB3BAA" w:rsidRPr="0022087C" w:rsidRDefault="00BB3BAA" w:rsidP="00BB3BAA">
            <w:pPr>
              <w:rPr>
                <w:sz w:val="18"/>
                <w:szCs w:val="18"/>
              </w:rPr>
            </w:pPr>
          </w:p>
        </w:tc>
        <w:tc>
          <w:tcPr>
            <w:tcW w:w="1955" w:type="dxa"/>
          </w:tcPr>
          <w:p w14:paraId="454E1AC0" w14:textId="7C422FF4" w:rsidR="00831DA0" w:rsidRPr="00831DA0" w:rsidRDefault="00831DA0" w:rsidP="00831DA0">
            <w:pPr>
              <w:rPr>
                <w:sz w:val="18"/>
                <w:szCs w:val="18"/>
              </w:rPr>
            </w:pPr>
            <w:r>
              <w:rPr>
                <w:sz w:val="18"/>
                <w:szCs w:val="18"/>
              </w:rPr>
              <w:t xml:space="preserve">€ </w:t>
            </w:r>
            <w:r w:rsidRPr="00831DA0">
              <w:rPr>
                <w:sz w:val="18"/>
                <w:szCs w:val="18"/>
              </w:rPr>
              <w:t>30.056.925</w:t>
            </w:r>
          </w:p>
          <w:p w14:paraId="2F40FAF5" w14:textId="14B57315" w:rsidR="00BB3BAA" w:rsidRPr="0022087C" w:rsidRDefault="00BB3BAA" w:rsidP="00BB3BAA">
            <w:pPr>
              <w:rPr>
                <w:sz w:val="18"/>
                <w:szCs w:val="18"/>
              </w:rPr>
            </w:pPr>
          </w:p>
        </w:tc>
      </w:tr>
      <w:tr w:rsidR="00BB3BAA" w:rsidRPr="0022087C" w14:paraId="32A570EF" w14:textId="77777777" w:rsidTr="00BB3BAA">
        <w:tc>
          <w:tcPr>
            <w:tcW w:w="1954" w:type="dxa"/>
          </w:tcPr>
          <w:p w14:paraId="6B53A19E" w14:textId="77777777" w:rsidR="00BB3BAA" w:rsidRPr="0022087C" w:rsidRDefault="00BB3BAA" w:rsidP="00BB3BAA">
            <w:pPr>
              <w:rPr>
                <w:sz w:val="18"/>
                <w:szCs w:val="18"/>
              </w:rPr>
            </w:pPr>
            <w:r>
              <w:rPr>
                <w:sz w:val="18"/>
                <w:szCs w:val="18"/>
              </w:rPr>
              <w:t xml:space="preserve">% allocation </w:t>
            </w:r>
          </w:p>
        </w:tc>
        <w:tc>
          <w:tcPr>
            <w:tcW w:w="1954" w:type="dxa"/>
          </w:tcPr>
          <w:p w14:paraId="026C2D74" w14:textId="12368BA5" w:rsidR="00BB3BAA" w:rsidRPr="0022087C" w:rsidRDefault="00831DA0" w:rsidP="00BB3BAA">
            <w:pPr>
              <w:rPr>
                <w:sz w:val="18"/>
                <w:szCs w:val="18"/>
              </w:rPr>
            </w:pPr>
            <w:r>
              <w:rPr>
                <w:sz w:val="18"/>
                <w:szCs w:val="18"/>
              </w:rPr>
              <w:t>22%</w:t>
            </w:r>
          </w:p>
        </w:tc>
        <w:tc>
          <w:tcPr>
            <w:tcW w:w="1954" w:type="dxa"/>
          </w:tcPr>
          <w:p w14:paraId="0B1862C8" w14:textId="5197F0E9" w:rsidR="00BB3BAA" w:rsidRPr="0022087C" w:rsidRDefault="00831DA0" w:rsidP="00BB3BAA">
            <w:pPr>
              <w:rPr>
                <w:sz w:val="18"/>
                <w:szCs w:val="18"/>
              </w:rPr>
            </w:pPr>
            <w:r>
              <w:rPr>
                <w:sz w:val="18"/>
                <w:szCs w:val="18"/>
              </w:rPr>
              <w:t>45%</w:t>
            </w:r>
          </w:p>
        </w:tc>
        <w:tc>
          <w:tcPr>
            <w:tcW w:w="1955" w:type="dxa"/>
          </w:tcPr>
          <w:p w14:paraId="41924982" w14:textId="4D020EC8" w:rsidR="00BB3BAA" w:rsidRPr="0022087C" w:rsidRDefault="00831DA0" w:rsidP="00BB3BAA">
            <w:pPr>
              <w:rPr>
                <w:sz w:val="18"/>
                <w:szCs w:val="18"/>
              </w:rPr>
            </w:pPr>
            <w:r>
              <w:rPr>
                <w:sz w:val="18"/>
                <w:szCs w:val="18"/>
              </w:rPr>
              <w:t>33%</w:t>
            </w:r>
          </w:p>
        </w:tc>
        <w:tc>
          <w:tcPr>
            <w:tcW w:w="1955" w:type="dxa"/>
          </w:tcPr>
          <w:p w14:paraId="241AC933" w14:textId="09E8E3C5" w:rsidR="00BB3BAA" w:rsidRPr="0022087C" w:rsidRDefault="008860A4" w:rsidP="00BB3BAA">
            <w:pPr>
              <w:rPr>
                <w:sz w:val="18"/>
                <w:szCs w:val="18"/>
              </w:rPr>
            </w:pPr>
            <w:r>
              <w:rPr>
                <w:sz w:val="18"/>
                <w:szCs w:val="18"/>
              </w:rPr>
              <w:t>18</w:t>
            </w:r>
          </w:p>
        </w:tc>
      </w:tr>
      <w:tr w:rsidR="00BB3BAA" w:rsidRPr="0022087C" w14:paraId="7A9E966D" w14:textId="77777777" w:rsidTr="00BB3BAA">
        <w:tc>
          <w:tcPr>
            <w:tcW w:w="1954" w:type="dxa"/>
          </w:tcPr>
          <w:p w14:paraId="0FEA5EA3" w14:textId="5C953EF5" w:rsidR="00BB3BAA" w:rsidRPr="0022087C" w:rsidRDefault="00BB3BAA" w:rsidP="00880622">
            <w:pPr>
              <w:rPr>
                <w:sz w:val="18"/>
                <w:szCs w:val="18"/>
              </w:rPr>
            </w:pPr>
            <w:r>
              <w:rPr>
                <w:sz w:val="18"/>
                <w:szCs w:val="18"/>
              </w:rPr>
              <w:t>A</w:t>
            </w:r>
            <w:r w:rsidRPr="0022087C">
              <w:rPr>
                <w:sz w:val="18"/>
                <w:szCs w:val="18"/>
              </w:rPr>
              <w:t>ppel  projets standards</w:t>
            </w:r>
          </w:p>
        </w:tc>
        <w:tc>
          <w:tcPr>
            <w:tcW w:w="1954" w:type="dxa"/>
          </w:tcPr>
          <w:p w14:paraId="2D3D5694" w14:textId="15EDB018" w:rsidR="00BB3BAA" w:rsidRPr="0022087C" w:rsidRDefault="000D4C51" w:rsidP="00BB3BAA">
            <w:pPr>
              <w:rPr>
                <w:sz w:val="18"/>
                <w:szCs w:val="18"/>
              </w:rPr>
            </w:pPr>
            <w:r>
              <w:rPr>
                <w:sz w:val="18"/>
                <w:szCs w:val="18"/>
              </w:rPr>
              <w:t>5</w:t>
            </w:r>
          </w:p>
        </w:tc>
        <w:tc>
          <w:tcPr>
            <w:tcW w:w="1954" w:type="dxa"/>
          </w:tcPr>
          <w:p w14:paraId="252F2A8F" w14:textId="511722CC" w:rsidR="00BB3BAA" w:rsidRPr="0022087C" w:rsidRDefault="008860A4" w:rsidP="00BB3BAA">
            <w:pPr>
              <w:rPr>
                <w:sz w:val="18"/>
                <w:szCs w:val="18"/>
              </w:rPr>
            </w:pPr>
            <w:r>
              <w:rPr>
                <w:sz w:val="18"/>
                <w:szCs w:val="18"/>
              </w:rPr>
              <w:t>8</w:t>
            </w:r>
          </w:p>
        </w:tc>
        <w:tc>
          <w:tcPr>
            <w:tcW w:w="1955" w:type="dxa"/>
          </w:tcPr>
          <w:p w14:paraId="1D806BAB" w14:textId="7F9ECB44" w:rsidR="00BB3BAA" w:rsidRPr="0022087C" w:rsidRDefault="008860A4" w:rsidP="00BB3BAA">
            <w:pPr>
              <w:rPr>
                <w:sz w:val="18"/>
                <w:szCs w:val="18"/>
              </w:rPr>
            </w:pPr>
            <w:r>
              <w:rPr>
                <w:sz w:val="18"/>
                <w:szCs w:val="18"/>
              </w:rPr>
              <w:t>5</w:t>
            </w:r>
          </w:p>
        </w:tc>
        <w:tc>
          <w:tcPr>
            <w:tcW w:w="1955" w:type="dxa"/>
          </w:tcPr>
          <w:p w14:paraId="62AF500B" w14:textId="6D093972" w:rsidR="00BB3BAA" w:rsidRPr="0022087C" w:rsidRDefault="00BB3BAA" w:rsidP="00BB3BAA">
            <w:pPr>
              <w:rPr>
                <w:sz w:val="18"/>
                <w:szCs w:val="18"/>
              </w:rPr>
            </w:pPr>
          </w:p>
        </w:tc>
      </w:tr>
      <w:tr w:rsidR="00BB3BAA" w:rsidRPr="0022087C" w14:paraId="18BEB07A" w14:textId="77777777" w:rsidTr="00BB3BAA">
        <w:tc>
          <w:tcPr>
            <w:tcW w:w="1954" w:type="dxa"/>
          </w:tcPr>
          <w:p w14:paraId="30FDCB09" w14:textId="649D1D23" w:rsidR="00BB3BAA" w:rsidRPr="0022087C" w:rsidRDefault="00BB3BAA" w:rsidP="00880622">
            <w:pPr>
              <w:rPr>
                <w:sz w:val="18"/>
                <w:szCs w:val="18"/>
              </w:rPr>
            </w:pPr>
            <w:r w:rsidRPr="0022087C">
              <w:rPr>
                <w:sz w:val="18"/>
                <w:szCs w:val="18"/>
              </w:rPr>
              <w:t>Appel projets stratégiques</w:t>
            </w:r>
          </w:p>
        </w:tc>
        <w:tc>
          <w:tcPr>
            <w:tcW w:w="1954" w:type="dxa"/>
          </w:tcPr>
          <w:p w14:paraId="1362E06E" w14:textId="728A8987" w:rsidR="00BB3BAA" w:rsidRPr="0022087C" w:rsidRDefault="008860A4" w:rsidP="00BB3BAA">
            <w:pPr>
              <w:rPr>
                <w:sz w:val="18"/>
                <w:szCs w:val="18"/>
              </w:rPr>
            </w:pPr>
            <w:r>
              <w:rPr>
                <w:sz w:val="18"/>
                <w:szCs w:val="18"/>
              </w:rPr>
              <w:t>2</w:t>
            </w:r>
          </w:p>
        </w:tc>
        <w:tc>
          <w:tcPr>
            <w:tcW w:w="1954" w:type="dxa"/>
          </w:tcPr>
          <w:p w14:paraId="53488C5D" w14:textId="7FCD79B2" w:rsidR="00BB3BAA" w:rsidRPr="0022087C" w:rsidRDefault="008860A4" w:rsidP="00BB3BAA">
            <w:pPr>
              <w:rPr>
                <w:sz w:val="18"/>
                <w:szCs w:val="18"/>
              </w:rPr>
            </w:pPr>
            <w:r>
              <w:rPr>
                <w:sz w:val="18"/>
                <w:szCs w:val="18"/>
              </w:rPr>
              <w:t>5</w:t>
            </w:r>
          </w:p>
        </w:tc>
        <w:tc>
          <w:tcPr>
            <w:tcW w:w="1955" w:type="dxa"/>
          </w:tcPr>
          <w:p w14:paraId="213DB2AA" w14:textId="08C2B14E" w:rsidR="00BB3BAA" w:rsidRPr="0022087C" w:rsidRDefault="008860A4" w:rsidP="00BB3BAA">
            <w:pPr>
              <w:rPr>
                <w:sz w:val="18"/>
                <w:szCs w:val="18"/>
              </w:rPr>
            </w:pPr>
            <w:r>
              <w:rPr>
                <w:sz w:val="18"/>
                <w:szCs w:val="18"/>
              </w:rPr>
              <w:t>3</w:t>
            </w:r>
          </w:p>
        </w:tc>
        <w:tc>
          <w:tcPr>
            <w:tcW w:w="1955" w:type="dxa"/>
          </w:tcPr>
          <w:p w14:paraId="56FBE64B" w14:textId="3018B8C1" w:rsidR="00BB3BAA" w:rsidRPr="0022087C" w:rsidRDefault="008860A4" w:rsidP="00BB3BAA">
            <w:pPr>
              <w:rPr>
                <w:sz w:val="18"/>
                <w:szCs w:val="18"/>
              </w:rPr>
            </w:pPr>
            <w:r>
              <w:rPr>
                <w:sz w:val="18"/>
                <w:szCs w:val="18"/>
              </w:rPr>
              <w:t>10</w:t>
            </w:r>
          </w:p>
        </w:tc>
      </w:tr>
      <w:tr w:rsidR="00BB3BAA" w:rsidRPr="0022087C" w14:paraId="3EFE873E" w14:textId="77777777" w:rsidTr="00BB3BAA">
        <w:tc>
          <w:tcPr>
            <w:tcW w:w="1954" w:type="dxa"/>
          </w:tcPr>
          <w:p w14:paraId="58D42E85" w14:textId="77777777" w:rsidR="00BB3BAA" w:rsidRPr="0022087C" w:rsidRDefault="00BB3BAA" w:rsidP="00BB3BAA">
            <w:pPr>
              <w:rPr>
                <w:sz w:val="18"/>
                <w:szCs w:val="18"/>
              </w:rPr>
            </w:pPr>
            <w:r w:rsidRPr="0022087C">
              <w:rPr>
                <w:sz w:val="18"/>
                <w:szCs w:val="18"/>
              </w:rPr>
              <w:t xml:space="preserve">Total des projets financés </w:t>
            </w:r>
          </w:p>
        </w:tc>
        <w:tc>
          <w:tcPr>
            <w:tcW w:w="1954" w:type="dxa"/>
          </w:tcPr>
          <w:p w14:paraId="5F099887" w14:textId="7818C898" w:rsidR="00BB3BAA" w:rsidRPr="0022087C" w:rsidRDefault="008860A4" w:rsidP="00BB3BAA">
            <w:pPr>
              <w:rPr>
                <w:sz w:val="18"/>
                <w:szCs w:val="18"/>
              </w:rPr>
            </w:pPr>
            <w:r>
              <w:rPr>
                <w:sz w:val="18"/>
                <w:szCs w:val="18"/>
              </w:rPr>
              <w:t>7</w:t>
            </w:r>
          </w:p>
        </w:tc>
        <w:tc>
          <w:tcPr>
            <w:tcW w:w="1954" w:type="dxa"/>
          </w:tcPr>
          <w:p w14:paraId="0E2D68AF" w14:textId="143985C7" w:rsidR="00BB3BAA" w:rsidRPr="0022087C" w:rsidRDefault="008860A4" w:rsidP="00BB3BAA">
            <w:pPr>
              <w:rPr>
                <w:sz w:val="18"/>
                <w:szCs w:val="18"/>
              </w:rPr>
            </w:pPr>
            <w:r>
              <w:rPr>
                <w:sz w:val="18"/>
                <w:szCs w:val="18"/>
              </w:rPr>
              <w:t>13</w:t>
            </w:r>
          </w:p>
        </w:tc>
        <w:tc>
          <w:tcPr>
            <w:tcW w:w="1955" w:type="dxa"/>
          </w:tcPr>
          <w:p w14:paraId="7F15BBCA" w14:textId="5D19B0B6" w:rsidR="00BB3BAA" w:rsidRPr="0022087C" w:rsidRDefault="008860A4" w:rsidP="00BB3BAA">
            <w:pPr>
              <w:rPr>
                <w:sz w:val="18"/>
                <w:szCs w:val="18"/>
              </w:rPr>
            </w:pPr>
            <w:r>
              <w:rPr>
                <w:sz w:val="18"/>
                <w:szCs w:val="18"/>
              </w:rPr>
              <w:t>8</w:t>
            </w:r>
          </w:p>
        </w:tc>
        <w:tc>
          <w:tcPr>
            <w:tcW w:w="1955" w:type="dxa"/>
          </w:tcPr>
          <w:p w14:paraId="5A8982C1" w14:textId="77777777" w:rsidR="00BB3BAA" w:rsidRDefault="008860A4" w:rsidP="00BB3BAA">
            <w:pPr>
              <w:rPr>
                <w:sz w:val="18"/>
                <w:szCs w:val="18"/>
              </w:rPr>
            </w:pPr>
            <w:r>
              <w:rPr>
                <w:sz w:val="18"/>
                <w:szCs w:val="18"/>
              </w:rPr>
              <w:t>28</w:t>
            </w:r>
          </w:p>
          <w:p w14:paraId="7FD239C0" w14:textId="1A4B6C61" w:rsidR="008860A4" w:rsidRPr="0022087C" w:rsidRDefault="008860A4" w:rsidP="00BB3BAA">
            <w:pPr>
              <w:rPr>
                <w:sz w:val="18"/>
                <w:szCs w:val="18"/>
              </w:rPr>
            </w:pPr>
          </w:p>
        </w:tc>
      </w:tr>
      <w:tr w:rsidR="00BB3BAA" w:rsidRPr="0022087C" w14:paraId="0908A664" w14:textId="77777777" w:rsidTr="00BB3BAA">
        <w:tc>
          <w:tcPr>
            <w:tcW w:w="1954" w:type="dxa"/>
          </w:tcPr>
          <w:p w14:paraId="45971F2E" w14:textId="686A04D2" w:rsidR="00BB3BAA" w:rsidRPr="0022087C" w:rsidRDefault="00BB3BAA" w:rsidP="00BB3BAA">
            <w:pPr>
              <w:rPr>
                <w:sz w:val="18"/>
                <w:szCs w:val="18"/>
              </w:rPr>
            </w:pPr>
            <w:r w:rsidRPr="0022087C">
              <w:rPr>
                <w:sz w:val="18"/>
                <w:szCs w:val="18"/>
              </w:rPr>
              <w:t>%</w:t>
            </w:r>
          </w:p>
        </w:tc>
        <w:tc>
          <w:tcPr>
            <w:tcW w:w="1954" w:type="dxa"/>
          </w:tcPr>
          <w:p w14:paraId="5193F064" w14:textId="4DF28A58" w:rsidR="00BB3BAA" w:rsidRPr="0022087C" w:rsidRDefault="008860A4" w:rsidP="00BB3BAA">
            <w:pPr>
              <w:rPr>
                <w:sz w:val="18"/>
                <w:szCs w:val="18"/>
              </w:rPr>
            </w:pPr>
            <w:r>
              <w:rPr>
                <w:sz w:val="18"/>
                <w:szCs w:val="18"/>
              </w:rPr>
              <w:t>25%</w:t>
            </w:r>
          </w:p>
        </w:tc>
        <w:tc>
          <w:tcPr>
            <w:tcW w:w="1954" w:type="dxa"/>
          </w:tcPr>
          <w:p w14:paraId="337A0D83" w14:textId="0C301FE4" w:rsidR="00BB3BAA" w:rsidRPr="0022087C" w:rsidRDefault="008860A4" w:rsidP="00BB3BAA">
            <w:pPr>
              <w:rPr>
                <w:sz w:val="18"/>
                <w:szCs w:val="18"/>
              </w:rPr>
            </w:pPr>
            <w:r>
              <w:rPr>
                <w:sz w:val="18"/>
                <w:szCs w:val="18"/>
              </w:rPr>
              <w:t>46%</w:t>
            </w:r>
          </w:p>
        </w:tc>
        <w:tc>
          <w:tcPr>
            <w:tcW w:w="1955" w:type="dxa"/>
          </w:tcPr>
          <w:p w14:paraId="6C65249E" w14:textId="282C111D" w:rsidR="00BB3BAA" w:rsidRPr="0022087C" w:rsidRDefault="008860A4" w:rsidP="00BB3BAA">
            <w:pPr>
              <w:rPr>
                <w:sz w:val="18"/>
                <w:szCs w:val="18"/>
              </w:rPr>
            </w:pPr>
            <w:r>
              <w:rPr>
                <w:sz w:val="18"/>
                <w:szCs w:val="18"/>
              </w:rPr>
              <w:t>29%</w:t>
            </w:r>
          </w:p>
        </w:tc>
        <w:tc>
          <w:tcPr>
            <w:tcW w:w="1955" w:type="dxa"/>
          </w:tcPr>
          <w:p w14:paraId="7F3AACEB" w14:textId="77777777" w:rsidR="00BB3BAA" w:rsidRPr="0022087C" w:rsidRDefault="00BB3BAA" w:rsidP="00BB3BAA">
            <w:pPr>
              <w:rPr>
                <w:sz w:val="18"/>
                <w:szCs w:val="18"/>
              </w:rPr>
            </w:pPr>
            <w:r w:rsidRPr="0022087C">
              <w:rPr>
                <w:sz w:val="18"/>
                <w:szCs w:val="18"/>
              </w:rPr>
              <w:t>100%</w:t>
            </w:r>
          </w:p>
        </w:tc>
      </w:tr>
    </w:tbl>
    <w:p w14:paraId="6F07D342" w14:textId="77777777" w:rsidR="00984014" w:rsidRDefault="00984014" w:rsidP="009A78FC">
      <w:pPr>
        <w:jc w:val="both"/>
      </w:pPr>
    </w:p>
    <w:p w14:paraId="1951059E" w14:textId="6350578E" w:rsidR="00590069" w:rsidRDefault="00DA1B78" w:rsidP="00900D25">
      <w:pPr>
        <w:pStyle w:val="Titolo2"/>
        <w:numPr>
          <w:ilvl w:val="1"/>
          <w:numId w:val="48"/>
        </w:numPr>
        <w:ind w:left="993"/>
      </w:pPr>
      <w:r w:rsidRPr="00CD2C07">
        <w:t xml:space="preserve"> </w:t>
      </w:r>
      <w:bookmarkStart w:id="26" w:name="_Toc506480688"/>
      <w:bookmarkStart w:id="27" w:name="_Toc506481163"/>
      <w:bookmarkStart w:id="28" w:name="_Toc506481185"/>
      <w:bookmarkStart w:id="29" w:name="_Toc506481284"/>
      <w:bookmarkStart w:id="30" w:name="_Toc507758749"/>
      <w:r w:rsidRPr="00CD2C07">
        <w:t>Les leçons apprises par le deux programmes passés</w:t>
      </w:r>
      <w:bookmarkEnd w:id="26"/>
      <w:bookmarkEnd w:id="27"/>
      <w:bookmarkEnd w:id="28"/>
      <w:bookmarkEnd w:id="29"/>
      <w:bookmarkEnd w:id="30"/>
      <w:r w:rsidRPr="00CD2C07">
        <w:t xml:space="preserve"> </w:t>
      </w:r>
    </w:p>
    <w:p w14:paraId="7F4BE864" w14:textId="77777777" w:rsidR="00F75312" w:rsidRPr="00F75312" w:rsidRDefault="00F75312" w:rsidP="00F75312"/>
    <w:p w14:paraId="330A643D" w14:textId="77777777" w:rsidR="00720582" w:rsidRPr="00720582" w:rsidRDefault="00720582" w:rsidP="00F75312">
      <w:pPr>
        <w:jc w:val="both"/>
      </w:pPr>
      <w:r w:rsidRPr="00720582">
        <w:t>L'expérience des deux programmes précédents révèle des dynamiques importantes à capitaliser dans la programmation 21-27.</w:t>
      </w:r>
    </w:p>
    <w:p w14:paraId="0CBB49B7" w14:textId="0CB8ACFA" w:rsidR="00720582" w:rsidRPr="00720582" w:rsidRDefault="00720582" w:rsidP="00F75312">
      <w:pPr>
        <w:jc w:val="both"/>
      </w:pPr>
      <w:r w:rsidRPr="00720582">
        <w:t xml:space="preserve">La </w:t>
      </w:r>
      <w:r w:rsidR="00F75312" w:rsidRPr="00720582">
        <w:t>d</w:t>
      </w:r>
      <w:r w:rsidR="00F75312">
        <w:t xml:space="preserve">éclination </w:t>
      </w:r>
      <w:r w:rsidRPr="00720582">
        <w:t>en</w:t>
      </w:r>
      <w:r w:rsidR="00771CCC">
        <w:t>tre</w:t>
      </w:r>
      <w:r w:rsidRPr="00720582">
        <w:t xml:space="preserve"> projets </w:t>
      </w:r>
      <w:proofErr w:type="gramStart"/>
      <w:r w:rsidRPr="00720582">
        <w:t>standards</w:t>
      </w:r>
      <w:proofErr w:type="gramEnd"/>
      <w:r w:rsidRPr="00720582">
        <w:t xml:space="preserve"> et </w:t>
      </w:r>
      <w:r w:rsidR="00841621">
        <w:t xml:space="preserve">projets </w:t>
      </w:r>
      <w:r w:rsidRPr="00720582">
        <w:t xml:space="preserve">stratégiques a montré une certaine difficulté à mettre en évidence </w:t>
      </w:r>
      <w:r w:rsidRPr="00A52C6A">
        <w:rPr>
          <w:b/>
        </w:rPr>
        <w:t>la valeur ajoutée en termes de contenu</w:t>
      </w:r>
      <w:r w:rsidR="00771CCC">
        <w:rPr>
          <w:b/>
        </w:rPr>
        <w:t>s</w:t>
      </w:r>
      <w:r w:rsidRPr="00A52C6A">
        <w:rPr>
          <w:b/>
        </w:rPr>
        <w:t xml:space="preserve"> et d'impacts des projets stratégiques</w:t>
      </w:r>
      <w:r w:rsidRPr="00720582">
        <w:t>.</w:t>
      </w:r>
      <w:r w:rsidR="00A52C6A">
        <w:t xml:space="preserve"> </w:t>
      </w:r>
      <w:r w:rsidRPr="00720582">
        <w:t>Cet aspect, qui avait déjà été relevé dans le</w:t>
      </w:r>
      <w:r w:rsidR="00841621">
        <w:t>s</w:t>
      </w:r>
      <w:r w:rsidRPr="00720582">
        <w:t xml:space="preserve"> rapport</w:t>
      </w:r>
      <w:r w:rsidR="00841621">
        <w:t>s</w:t>
      </w:r>
      <w:r w:rsidRPr="00720582">
        <w:t xml:space="preserve"> d'évaluation</w:t>
      </w:r>
      <w:r w:rsidR="00841621">
        <w:t xml:space="preserve"> du programme 2007-2013</w:t>
      </w:r>
      <w:r w:rsidRPr="00720582">
        <w:t xml:space="preserve">, avait déterminé une approche programmatique précise au niveau de l'appel stratégique 2014-2020, qui n'est toutefois que partiellement respectée par les projets présentés.   C'est un aspect à prendre en compte dans </w:t>
      </w:r>
      <w:r w:rsidR="00841621">
        <w:t>la sélection de la typologie</w:t>
      </w:r>
      <w:r w:rsidRPr="00720582">
        <w:t xml:space="preserve"> d'appels à soumettre</w:t>
      </w:r>
      <w:r w:rsidR="00841621">
        <w:t xml:space="preserve"> dans le cadre du nouveau programme. </w:t>
      </w:r>
    </w:p>
    <w:p w14:paraId="0807ADCD" w14:textId="29706DFE" w:rsidR="00720582" w:rsidRDefault="00720582" w:rsidP="00F75312">
      <w:pPr>
        <w:jc w:val="both"/>
      </w:pPr>
      <w:r w:rsidRPr="00720582">
        <w:t xml:space="preserve">Un autre élément à prendre en compte est la </w:t>
      </w:r>
      <w:r w:rsidRPr="00A52C6A">
        <w:rPr>
          <w:b/>
        </w:rPr>
        <w:t>durée des projets</w:t>
      </w:r>
      <w:r w:rsidRPr="00720582">
        <w:t>, qui ne respectent pas le calendri</w:t>
      </w:r>
      <w:r w:rsidR="00841621">
        <w:t>er fixé pour leur mise en œuvre.  C</w:t>
      </w:r>
      <w:r w:rsidRPr="00720582">
        <w:t>et aspect devient particulièrement pertinent à la lumière des nouvelles règles de dégagement.</w:t>
      </w:r>
    </w:p>
    <w:p w14:paraId="43BD2B39" w14:textId="18574E76" w:rsidR="00391EC8" w:rsidRDefault="00391EC8" w:rsidP="00F75312">
      <w:pPr>
        <w:jc w:val="both"/>
      </w:pPr>
      <w:r>
        <w:t>Les programme</w:t>
      </w:r>
      <w:r w:rsidR="00B77BD8">
        <w:t>s</w:t>
      </w:r>
      <w:r>
        <w:t xml:space="preserve"> 2007-2013 et 2014-</w:t>
      </w:r>
      <w:r w:rsidR="00BF0F75">
        <w:t xml:space="preserve">2020 </w:t>
      </w:r>
      <w:r>
        <w:t xml:space="preserve">mettent en </w:t>
      </w:r>
      <w:r w:rsidR="00B77BD8" w:rsidRPr="0042554D">
        <w:t>é</w:t>
      </w:r>
      <w:r w:rsidR="00B77BD8">
        <w:t xml:space="preserve">vidence </w:t>
      </w:r>
      <w:r w:rsidRPr="0042554D">
        <w:t xml:space="preserve">une </w:t>
      </w:r>
      <w:r w:rsidR="00B77BD8" w:rsidRPr="0042554D">
        <w:t>difficulté</w:t>
      </w:r>
      <w:r w:rsidRPr="0042554D">
        <w:t xml:space="preserve"> </w:t>
      </w:r>
      <w:r w:rsidR="00B77BD8" w:rsidRPr="0042554D">
        <w:t>général</w:t>
      </w:r>
      <w:r w:rsidR="00B77BD8">
        <w:t xml:space="preserve">isée des projets </w:t>
      </w:r>
      <w:r w:rsidRPr="0042554D">
        <w:t xml:space="preserve">à respecter les délais </w:t>
      </w:r>
      <w:r>
        <w:t>prévus</w:t>
      </w:r>
      <w:r w:rsidRPr="0042554D">
        <w:t xml:space="preserve">, principalement </w:t>
      </w:r>
      <w:r w:rsidR="00B77BD8">
        <w:t xml:space="preserve">à cause des retards dans </w:t>
      </w:r>
      <w:r w:rsidRPr="0042554D">
        <w:t xml:space="preserve">la phase de </w:t>
      </w:r>
      <w:r>
        <w:t>démarrage</w:t>
      </w:r>
      <w:r w:rsidRPr="0042554D">
        <w:t>.</w:t>
      </w:r>
    </w:p>
    <w:p w14:paraId="18AA2CB1" w14:textId="3DC73546" w:rsidR="00B77BD8" w:rsidRDefault="00B77BD8" w:rsidP="00F75312">
      <w:pPr>
        <w:jc w:val="both"/>
      </w:pPr>
      <w:r>
        <w:t xml:space="preserve">Sur les retards dans la clôture des projets ont contribué les </w:t>
      </w:r>
      <w:r w:rsidR="00720582" w:rsidRPr="00720582">
        <w:t>événements extérieurs</w:t>
      </w:r>
      <w:r>
        <w:t xml:space="preserve"> </w:t>
      </w:r>
      <w:r w:rsidR="00720582" w:rsidRPr="00720582">
        <w:t xml:space="preserve"> tels que</w:t>
      </w:r>
      <w:r w:rsidR="004702A9">
        <w:t xml:space="preserve"> le printemps arabe en 2011, </w:t>
      </w:r>
      <w:r w:rsidR="00720582" w:rsidRPr="00720582">
        <w:t xml:space="preserve"> les attaques terroristes </w:t>
      </w:r>
      <w:r w:rsidR="00A52C6A">
        <w:t xml:space="preserve">en 2015 </w:t>
      </w:r>
      <w:r w:rsidR="00720582" w:rsidRPr="00720582">
        <w:t>et la pandémie</w:t>
      </w:r>
      <w:r w:rsidR="00A52C6A">
        <w:t xml:space="preserve"> du COVID 19</w:t>
      </w:r>
      <w:r w:rsidR="00720582" w:rsidRPr="00720582">
        <w:t xml:space="preserve">, </w:t>
      </w:r>
      <w:r w:rsidR="00316D0F">
        <w:t>mais aussi, comme relevé, la difficulté à mettre en place les actions prévues</w:t>
      </w:r>
      <w:r w:rsidR="00771CCC">
        <w:t xml:space="preserve"> dans les délais prévus</w:t>
      </w:r>
      <w:r w:rsidR="00316D0F">
        <w:t xml:space="preserve">. </w:t>
      </w:r>
    </w:p>
    <w:p w14:paraId="29A34D6B" w14:textId="160D7A42" w:rsidR="00720582" w:rsidRPr="00720582" w:rsidRDefault="00316D0F" w:rsidP="00F75312">
      <w:pPr>
        <w:jc w:val="both"/>
      </w:pPr>
      <w:r>
        <w:t>Les</w:t>
      </w:r>
      <w:r w:rsidR="00720582" w:rsidRPr="00720582">
        <w:t xml:space="preserve"> partenaires tunisiens</w:t>
      </w:r>
      <w:r w:rsidR="00391EC8">
        <w:t xml:space="preserve"> </w:t>
      </w:r>
      <w:r w:rsidR="00720582" w:rsidRPr="00720582">
        <w:t>ont rencontré des difficultés dans les phases préparatoires des projets, telles que l'ouverture de comptes en euros et l'obtention de garanties bancaires, qui, associés à un certain manque d'expérience</w:t>
      </w:r>
      <w:r w:rsidR="00391EC8">
        <w:t xml:space="preserve"> </w:t>
      </w:r>
      <w:r w:rsidR="00391EC8" w:rsidRPr="00720582">
        <w:t>en matière de gestion</w:t>
      </w:r>
      <w:r w:rsidR="00391EC8">
        <w:t>, qui touche aussi les bénéficiaires et les partenaires italiens</w:t>
      </w:r>
      <w:r w:rsidR="00720582" w:rsidRPr="00720582">
        <w:t xml:space="preserve">, ont affecté </w:t>
      </w:r>
      <w:r w:rsidR="00391EC8">
        <w:t>le</w:t>
      </w:r>
      <w:r w:rsidR="00720582" w:rsidRPr="00720582">
        <w:t xml:space="preserve"> démarrage</w:t>
      </w:r>
      <w:r w:rsidR="00391EC8">
        <w:t xml:space="preserve"> des projets</w:t>
      </w:r>
      <w:r w:rsidR="00720582" w:rsidRPr="00720582">
        <w:t>.</w:t>
      </w:r>
      <w:r w:rsidR="0042554D" w:rsidRPr="0042554D">
        <w:t xml:space="preserve"> </w:t>
      </w:r>
      <w:r w:rsidR="001C7749">
        <w:t xml:space="preserve">Cette situation </w:t>
      </w:r>
      <w:r w:rsidR="00771CCC">
        <w:t xml:space="preserve">devient </w:t>
      </w:r>
      <w:r w:rsidR="001C7749">
        <w:t xml:space="preserve">encore plus compliquée lors de la présence d’un </w:t>
      </w:r>
      <w:r w:rsidR="001C7749" w:rsidRPr="001C7749">
        <w:rPr>
          <w:b/>
        </w:rPr>
        <w:t>partenariat composé par plusieurs partenaires</w:t>
      </w:r>
      <w:r w:rsidR="001C7749">
        <w:t xml:space="preserve">.  </w:t>
      </w:r>
      <w:r w:rsidR="001C7749" w:rsidRPr="001C7749">
        <w:t xml:space="preserve">Nous avons constaté une </w:t>
      </w:r>
      <w:r w:rsidR="001C7749">
        <w:rPr>
          <w:b/>
        </w:rPr>
        <w:t>faiblesse généralisée</w:t>
      </w:r>
      <w:r w:rsidR="001C7749" w:rsidRPr="001C7749">
        <w:rPr>
          <w:b/>
        </w:rPr>
        <w:t xml:space="preserve"> dans les compétences</w:t>
      </w:r>
      <w:r w:rsidR="001C7749" w:rsidRPr="001C7749">
        <w:t xml:space="preserve"> </w:t>
      </w:r>
      <w:r w:rsidR="001C7749" w:rsidRPr="001C7749">
        <w:rPr>
          <w:b/>
        </w:rPr>
        <w:t xml:space="preserve">de gestion </w:t>
      </w:r>
      <w:r w:rsidR="001C7749" w:rsidRPr="001C7749">
        <w:t xml:space="preserve">des bénéficiaires, dont beaucoup étaient nouveaux dans le programme. </w:t>
      </w:r>
    </w:p>
    <w:p w14:paraId="78DDC155" w14:textId="30CBC1ED" w:rsidR="00720582" w:rsidRPr="00720582" w:rsidRDefault="00720582" w:rsidP="00F75312">
      <w:pPr>
        <w:jc w:val="both"/>
      </w:pPr>
      <w:r w:rsidRPr="00720582">
        <w:t xml:space="preserve">Il faut également tenir compte du temps très long nécessaire à </w:t>
      </w:r>
      <w:r w:rsidRPr="0042554D">
        <w:rPr>
          <w:b/>
        </w:rPr>
        <w:t xml:space="preserve">l'évaluation des appels </w:t>
      </w:r>
      <w:r w:rsidR="00292C8E">
        <w:rPr>
          <w:b/>
        </w:rPr>
        <w:t xml:space="preserve">à </w:t>
      </w:r>
      <w:r w:rsidR="00137C23">
        <w:rPr>
          <w:b/>
        </w:rPr>
        <w:t>projets</w:t>
      </w:r>
      <w:r w:rsidRPr="00720582">
        <w:t xml:space="preserve">, temps qui s'allonge encore dans les procédures en deux étapes.  </w:t>
      </w:r>
    </w:p>
    <w:p w14:paraId="6E4ED44F" w14:textId="40A54A2F" w:rsidR="00BE6195" w:rsidRDefault="00720582" w:rsidP="00F75312">
      <w:pPr>
        <w:jc w:val="both"/>
      </w:pPr>
      <w:r w:rsidRPr="00720582">
        <w:lastRenderedPageBreak/>
        <w:t>Ces éléments s</w:t>
      </w:r>
      <w:r w:rsidR="00D50049">
        <w:t xml:space="preserve">ont importants pour définir la modalité de mise </w:t>
      </w:r>
      <w:r w:rsidRPr="00720582">
        <w:t xml:space="preserve">en œuvre </w:t>
      </w:r>
      <w:r w:rsidR="00771CCC">
        <w:t>du</w:t>
      </w:r>
      <w:r w:rsidR="00771CCC" w:rsidRPr="00720582">
        <w:t xml:space="preserve"> </w:t>
      </w:r>
      <w:r w:rsidRPr="00720582">
        <w:t xml:space="preserve">programme </w:t>
      </w:r>
      <w:r w:rsidR="00D50049">
        <w:t xml:space="preserve">pour </w:t>
      </w:r>
      <w:r w:rsidR="00771CCC">
        <w:t>le</w:t>
      </w:r>
      <w:r w:rsidR="00771CCC" w:rsidRPr="00720582">
        <w:t xml:space="preserve"> </w:t>
      </w:r>
      <w:r w:rsidRPr="00720582">
        <w:t>rendre plus efficace</w:t>
      </w:r>
      <w:r w:rsidR="00771CCC">
        <w:t xml:space="preserve"> et</w:t>
      </w:r>
      <w:r w:rsidRPr="00720582">
        <w:t xml:space="preserve"> pour atteindre les objectifs fixés. L</w:t>
      </w:r>
      <w:r w:rsidR="0042554D">
        <w:t>a typologie</w:t>
      </w:r>
      <w:r w:rsidRPr="00720582">
        <w:t xml:space="preserve"> d'appel</w:t>
      </w:r>
      <w:r w:rsidR="00316D0F">
        <w:t xml:space="preserve"> à lancer</w:t>
      </w:r>
      <w:r w:rsidRPr="00720582">
        <w:t>, la durée</w:t>
      </w:r>
      <w:r w:rsidR="00316D0F">
        <w:t xml:space="preserve"> des projets</w:t>
      </w:r>
      <w:r w:rsidRPr="00720582">
        <w:t>,</w:t>
      </w:r>
      <w:r w:rsidR="00D50049">
        <w:t xml:space="preserve"> l</w:t>
      </w:r>
      <w:r w:rsidR="00316D0F">
        <w:t>eur</w:t>
      </w:r>
      <w:r w:rsidR="00D50049">
        <w:t xml:space="preserve"> valeur moyenne, </w:t>
      </w:r>
      <w:r w:rsidRPr="00720582">
        <w:t>le nombre de partenaires</w:t>
      </w:r>
      <w:r w:rsidR="00D50049">
        <w:t xml:space="preserve">, </w:t>
      </w:r>
      <w:r w:rsidR="00316D0F">
        <w:t>représentent des volets stratégiques</w:t>
      </w:r>
      <w:r w:rsidR="00D50049">
        <w:t xml:space="preserve"> </w:t>
      </w:r>
      <w:r w:rsidRPr="00720582">
        <w:t xml:space="preserve"> </w:t>
      </w:r>
      <w:r w:rsidR="00316D0F">
        <w:t xml:space="preserve">pour la mise en œuvre efficace et efficiente du programme. </w:t>
      </w:r>
      <w:r w:rsidRPr="00720582">
        <w:t xml:space="preserve"> </w:t>
      </w:r>
    </w:p>
    <w:p w14:paraId="3D8DB375" w14:textId="77777777" w:rsidR="00A067FD" w:rsidRDefault="00A067FD"/>
    <w:p w14:paraId="25982376" w14:textId="77777777" w:rsidR="00BE6195" w:rsidRDefault="00BE6195">
      <w:r>
        <w:br w:type="page"/>
      </w:r>
    </w:p>
    <w:p w14:paraId="1C422E9A" w14:textId="650E061C" w:rsidR="00720582" w:rsidRDefault="00BE6195" w:rsidP="00F42C80">
      <w:pPr>
        <w:pStyle w:val="Titolo1"/>
        <w:numPr>
          <w:ilvl w:val="0"/>
          <w:numId w:val="47"/>
        </w:numPr>
      </w:pPr>
      <w:bookmarkStart w:id="31" w:name="_Toc506480689"/>
      <w:bookmarkStart w:id="32" w:name="_Toc506481164"/>
      <w:bookmarkStart w:id="33" w:name="_Toc506481186"/>
      <w:bookmarkStart w:id="34" w:name="_Toc506481285"/>
      <w:bookmarkStart w:id="35" w:name="_Toc507758750"/>
      <w:r>
        <w:lastRenderedPageBreak/>
        <w:t xml:space="preserve">TYPOLOGIES D’APPELS </w:t>
      </w:r>
      <w:r w:rsidR="00292C8E">
        <w:t xml:space="preserve">À </w:t>
      </w:r>
      <w:r w:rsidR="00137C23">
        <w:t>PROJETS</w:t>
      </w:r>
      <w:r w:rsidR="00292C8E">
        <w:t xml:space="preserve"> </w:t>
      </w:r>
      <w:r w:rsidR="00E43CBF">
        <w:t>DU PROGRAMME 2021-2027</w:t>
      </w:r>
      <w:bookmarkEnd w:id="31"/>
      <w:bookmarkEnd w:id="32"/>
      <w:bookmarkEnd w:id="33"/>
      <w:bookmarkEnd w:id="34"/>
      <w:bookmarkEnd w:id="35"/>
    </w:p>
    <w:p w14:paraId="30BE21A2" w14:textId="77777777" w:rsidR="00BE6195" w:rsidRDefault="00BE6195" w:rsidP="00BE6195"/>
    <w:p w14:paraId="091D0E55" w14:textId="77777777" w:rsidR="00BE6195" w:rsidRPr="00BE6195" w:rsidRDefault="00BE6195" w:rsidP="00BE6195"/>
    <w:p w14:paraId="178BD116" w14:textId="2662E0A6" w:rsidR="00DA3900" w:rsidRDefault="00BB4A48" w:rsidP="002F3E19">
      <w:pPr>
        <w:jc w:val="both"/>
      </w:pPr>
      <w:r w:rsidRPr="00BB4A48">
        <w:t xml:space="preserve">A </w:t>
      </w:r>
      <w:r w:rsidR="00D151C1">
        <w:t>partir</w:t>
      </w:r>
      <w:r w:rsidRPr="00BB4A48">
        <w:t xml:space="preserve"> des éléments qui sont ressortis de l'analyse des programmes </w:t>
      </w:r>
      <w:r w:rsidR="00E43CBF">
        <w:t>passés</w:t>
      </w:r>
      <w:r w:rsidRPr="00BB4A48">
        <w:t xml:space="preserve"> et compte tenu du cadre réglementaire du nouveau programme, il est opportun, afin d'assurer une mise en œuvre </w:t>
      </w:r>
      <w:r w:rsidRPr="00DC4069">
        <w:t xml:space="preserve">efficiente et efficace du programme, de proposer </w:t>
      </w:r>
      <w:r w:rsidR="00DA3900">
        <w:t>trois</w:t>
      </w:r>
      <w:r w:rsidR="00D151C1" w:rsidRPr="00DC4069">
        <w:t xml:space="preserve"> typ</w:t>
      </w:r>
      <w:r w:rsidR="00D151C1">
        <w:t>ologies</w:t>
      </w:r>
      <w:r w:rsidR="00E43CBF">
        <w:t xml:space="preserve"> d'appels à </w:t>
      </w:r>
      <w:r w:rsidR="00137C23">
        <w:t>projets</w:t>
      </w:r>
      <w:r w:rsidRPr="00DC4069">
        <w:t>: un</w:t>
      </w:r>
      <w:r w:rsidR="00E43CBF">
        <w:t>e</w:t>
      </w:r>
      <w:r w:rsidRPr="00DC4069">
        <w:t xml:space="preserve"> </w:t>
      </w:r>
      <w:r w:rsidR="00E43CBF">
        <w:t>adressée</w:t>
      </w:r>
      <w:r w:rsidR="00DA3900">
        <w:t xml:space="preserve"> aux petits projets, une</w:t>
      </w:r>
      <w:r w:rsidR="00E43CBF">
        <w:t xml:space="preserve"> aux </w:t>
      </w:r>
      <w:r w:rsidRPr="00DC4069">
        <w:t>projets standards et un</w:t>
      </w:r>
      <w:r w:rsidR="00E43CBF">
        <w:t>e</w:t>
      </w:r>
      <w:r w:rsidRPr="00DC4069">
        <w:t xml:space="preserve"> </w:t>
      </w:r>
      <w:r w:rsidR="00D151C1">
        <w:t xml:space="preserve">aux </w:t>
      </w:r>
      <w:r w:rsidR="00E43CBF">
        <w:t>projets de</w:t>
      </w:r>
      <w:r w:rsidRPr="00DC4069">
        <w:t xml:space="preserve"> capitalisation. </w:t>
      </w:r>
    </w:p>
    <w:p w14:paraId="2A3EF0BD" w14:textId="3288D07F" w:rsidR="00707FF3" w:rsidRDefault="00166360" w:rsidP="002F3E19">
      <w:pPr>
        <w:jc w:val="both"/>
      </w:pPr>
      <w:r>
        <w:t xml:space="preserve">Le premier appel </w:t>
      </w:r>
      <w:r w:rsidR="00554172">
        <w:t xml:space="preserve">est </w:t>
      </w:r>
      <w:r w:rsidR="00210084">
        <w:t>adressé aux petits projets</w:t>
      </w:r>
      <w:r w:rsidR="00554172">
        <w:t xml:space="preserve"> </w:t>
      </w:r>
      <w:r w:rsidR="00554172" w:rsidRPr="00DC4069">
        <w:t>(art</w:t>
      </w:r>
      <w:r w:rsidR="00554172">
        <w:t xml:space="preserve"> 24 et </w:t>
      </w:r>
      <w:r w:rsidR="00554172" w:rsidRPr="00DC4069">
        <w:t>25 du Reg. 2021/1059),</w:t>
      </w:r>
      <w:r w:rsidR="00210084">
        <w:t xml:space="preserve"> qui font partie de l’OSI 1.6, </w:t>
      </w:r>
      <w:r w:rsidR="00033AF0" w:rsidRPr="00DC4069">
        <w:t xml:space="preserve">visant à favoriser </w:t>
      </w:r>
      <w:r w:rsidR="00033AF0">
        <w:t>l’inclusion et l’engagement dans le programme des parties prenantes territoriales, destiné  aux</w:t>
      </w:r>
      <w:r w:rsidR="00033AF0" w:rsidRPr="00DC4069">
        <w:t xml:space="preserve"> organisation</w:t>
      </w:r>
      <w:r w:rsidR="00033AF0">
        <w:t>s</w:t>
      </w:r>
      <w:r w:rsidR="00033AF0" w:rsidRPr="00DC4069">
        <w:t xml:space="preserve"> de la société civ</w:t>
      </w:r>
      <w:r w:rsidR="00033AF0">
        <w:t>ile surtout celles visant</w:t>
      </w:r>
      <w:r w:rsidR="00033AF0" w:rsidRPr="00DC4069">
        <w:t xml:space="preserve"> à l’inclusion des jeunes et des femmes, </w:t>
      </w:r>
      <w:r w:rsidR="00033AF0">
        <w:t xml:space="preserve">en accord avec </w:t>
      </w:r>
      <w:r w:rsidR="00033AF0" w:rsidRPr="00DC4069">
        <w:t xml:space="preserve">la stratégie de l'Union </w:t>
      </w:r>
      <w:r w:rsidR="00033AF0">
        <w:t>E</w:t>
      </w:r>
      <w:r w:rsidR="00033AF0" w:rsidRPr="00DC4069">
        <w:t xml:space="preserve">uropéenne en faveur de la jeunesse et </w:t>
      </w:r>
      <w:r w:rsidR="00033AF0">
        <w:t xml:space="preserve"> qui a été </w:t>
      </w:r>
      <w:r w:rsidR="00033AF0" w:rsidRPr="00DC4069">
        <w:t xml:space="preserve">marquée par la désignation de  </w:t>
      </w:r>
      <w:r w:rsidR="00033AF0">
        <w:t xml:space="preserve">l’année </w:t>
      </w:r>
      <w:r w:rsidR="00033AF0" w:rsidRPr="00DC4069">
        <w:t>2022 comme Année européenne de la jeunesse</w:t>
      </w:r>
      <w:r w:rsidR="00033AF0" w:rsidRPr="00DC4069">
        <w:rPr>
          <w:rStyle w:val="Rimandonotaapidipagina"/>
        </w:rPr>
        <w:footnoteReference w:id="11"/>
      </w:r>
      <w:r w:rsidR="00033AF0">
        <w:t xml:space="preserve">. </w:t>
      </w:r>
      <w:r w:rsidR="000B2CC8">
        <w:t>Finaliser</w:t>
      </w:r>
      <w:r w:rsidR="00033AF0">
        <w:t xml:space="preserve"> le premier appel à ces </w:t>
      </w:r>
      <w:r w:rsidR="000B2CC8">
        <w:t xml:space="preserve">nouvelles </w:t>
      </w:r>
      <w:r w:rsidR="009B79E0">
        <w:t>catégories</w:t>
      </w:r>
      <w:r w:rsidR="000B2CC8">
        <w:t xml:space="preserve"> de projets </w:t>
      </w:r>
      <w:r w:rsidR="009B79E0">
        <w:t>est</w:t>
      </w:r>
      <w:r w:rsidR="00033AF0">
        <w:t xml:space="preserve"> </w:t>
      </w:r>
      <w:r w:rsidR="009B79E0">
        <w:t xml:space="preserve">un message </w:t>
      </w:r>
      <w:r w:rsidR="009B79E0" w:rsidRPr="009B79E0">
        <w:t>aux jeunes ou aux petites associations qui veulent participer au</w:t>
      </w:r>
      <w:r w:rsidR="009B79E0">
        <w:t xml:space="preserve"> programme et que </w:t>
      </w:r>
      <w:r w:rsidR="00870DA7" w:rsidRPr="00870DA7">
        <w:t xml:space="preserve">jusqu'à présent </w:t>
      </w:r>
      <w:r w:rsidR="009B79E0">
        <w:t xml:space="preserve">n’ont pas eu les </w:t>
      </w:r>
      <w:r w:rsidR="00870DA7">
        <w:t>compétences</w:t>
      </w:r>
      <w:r w:rsidR="009B79E0">
        <w:t xml:space="preserve"> </w:t>
      </w:r>
      <w:r w:rsidR="00870DA7">
        <w:t>et/</w:t>
      </w:r>
      <w:r w:rsidR="009B79E0">
        <w:t>ou l</w:t>
      </w:r>
      <w:r w:rsidR="00870DA7">
        <w:t>est</w:t>
      </w:r>
      <w:r w:rsidR="009B79E0">
        <w:t xml:space="preserve"> possibilité</w:t>
      </w:r>
      <w:r w:rsidR="00870DA7">
        <w:t>s</w:t>
      </w:r>
      <w:r w:rsidR="009B79E0">
        <w:t xml:space="preserve"> de le faire</w:t>
      </w:r>
      <w:r w:rsidR="00870DA7">
        <w:t xml:space="preserve">. </w:t>
      </w:r>
      <w:r w:rsidR="009B79E0">
        <w:t xml:space="preserve"> </w:t>
      </w:r>
    </w:p>
    <w:p w14:paraId="62B86049" w14:textId="69E0FDC6" w:rsidR="00BB4A48" w:rsidRDefault="00BB4A48" w:rsidP="002F3E19">
      <w:pPr>
        <w:jc w:val="both"/>
      </w:pPr>
      <w:r w:rsidRPr="00DC4069">
        <w:t>Pour les raisons présentées ci-dessus, il n'est pas opportun de proposer un appel à projets stratégiques</w:t>
      </w:r>
      <w:r w:rsidR="00E43CBF">
        <w:t xml:space="preserve">, dont </w:t>
      </w:r>
      <w:r w:rsidR="00D151C1">
        <w:t xml:space="preserve">il </w:t>
      </w:r>
      <w:r w:rsidR="00E43CBF">
        <w:t xml:space="preserve">est </w:t>
      </w:r>
      <w:r w:rsidR="00075289">
        <w:t>très</w:t>
      </w:r>
      <w:r w:rsidR="00E43CBF">
        <w:t xml:space="preserve"> </w:t>
      </w:r>
      <w:r w:rsidR="00075289">
        <w:t>difficile</w:t>
      </w:r>
      <w:r w:rsidR="00E43CBF">
        <w:t xml:space="preserve"> </w:t>
      </w:r>
      <w:r w:rsidR="00D151C1">
        <w:t xml:space="preserve">de </w:t>
      </w:r>
      <w:r w:rsidR="00E43CBF">
        <w:t xml:space="preserve">relever la </w:t>
      </w:r>
      <w:r w:rsidR="00075289">
        <w:t>valeur</w:t>
      </w:r>
      <w:r w:rsidR="00E43CBF">
        <w:t xml:space="preserve"> </w:t>
      </w:r>
      <w:r w:rsidR="00075289">
        <w:t>ajouté</w:t>
      </w:r>
      <w:r w:rsidR="00D151C1">
        <w:t>e</w:t>
      </w:r>
      <w:r w:rsidR="00E43CBF">
        <w:t xml:space="preserve"> par rapport aux projets </w:t>
      </w:r>
      <w:proofErr w:type="gramStart"/>
      <w:r w:rsidR="00E43CBF">
        <w:t>standards</w:t>
      </w:r>
      <w:proofErr w:type="gramEnd"/>
      <w:r w:rsidR="00E43CBF">
        <w:t xml:space="preserve">.  </w:t>
      </w:r>
      <w:r w:rsidRPr="00DC4069">
        <w:t>Les projets de capitalisation, en revanche, représentent un él</w:t>
      </w:r>
      <w:r w:rsidR="00DC4069">
        <w:t xml:space="preserve">ément important pour </w:t>
      </w:r>
      <w:r w:rsidRPr="00DC4069">
        <w:t xml:space="preserve">renforcer et étendre </w:t>
      </w:r>
      <w:r w:rsidR="00E43CBF">
        <w:t xml:space="preserve">les acquis </w:t>
      </w:r>
      <w:r w:rsidR="00075289">
        <w:t>du programme</w:t>
      </w:r>
      <w:r w:rsidR="006A5A27">
        <w:t>, en terme</w:t>
      </w:r>
      <w:r w:rsidR="00D151C1">
        <w:t>s</w:t>
      </w:r>
      <w:r w:rsidR="006A5A27">
        <w:t xml:space="preserve"> de valorisation des connaissances et des résultats obtenus</w:t>
      </w:r>
      <w:r w:rsidR="00075289">
        <w:t xml:space="preserve"> </w:t>
      </w:r>
      <w:r w:rsidR="006A5A27">
        <w:t xml:space="preserve">par des </w:t>
      </w:r>
      <w:r w:rsidR="006A5A27" w:rsidRPr="006A5A27">
        <w:t xml:space="preserve">projets qui dans les </w:t>
      </w:r>
      <w:r w:rsidR="00E43CBF" w:rsidRPr="006A5A27">
        <w:t>programme</w:t>
      </w:r>
      <w:r w:rsidR="00075289" w:rsidRPr="006A5A27">
        <w:t>s</w:t>
      </w:r>
      <w:r w:rsidR="00E43CBF" w:rsidRPr="006A5A27">
        <w:t xml:space="preserve"> </w:t>
      </w:r>
      <w:r w:rsidR="00D151C1" w:rsidRPr="006A5A27">
        <w:t xml:space="preserve">passés </w:t>
      </w:r>
      <w:r w:rsidRPr="006A5A27">
        <w:t xml:space="preserve">se sont avérés apporter des éléments distinctifs </w:t>
      </w:r>
      <w:r w:rsidR="00075289" w:rsidRPr="006A5A27">
        <w:t>à capitaliser.</w:t>
      </w:r>
      <w:r w:rsidR="00075289">
        <w:t xml:space="preserve"> </w:t>
      </w:r>
      <w:r w:rsidRPr="00DC4069">
        <w:t xml:space="preserve"> </w:t>
      </w:r>
    </w:p>
    <w:p w14:paraId="68E07A0E" w14:textId="653C4053" w:rsidR="00DC4069" w:rsidRDefault="00BB4A48" w:rsidP="002F3E19">
      <w:pPr>
        <w:jc w:val="both"/>
      </w:pPr>
      <w:r w:rsidRPr="00DC4069">
        <w:t>Dans le cadre de l'appel à projets standards, il est proposé d'inclure un volet de petits projets (art</w:t>
      </w:r>
      <w:r w:rsidR="003C3892">
        <w:t xml:space="preserve"> 24 et </w:t>
      </w:r>
      <w:r w:rsidRPr="00DC4069">
        <w:t xml:space="preserve">25 du Reg. 2021/1059), </w:t>
      </w:r>
      <w:r w:rsidR="00DC4069">
        <w:t>pour</w:t>
      </w:r>
      <w:r w:rsidRPr="00DC4069">
        <w:t xml:space="preserve"> l'objectif spécifique Interreg 1.6</w:t>
      </w:r>
      <w:r w:rsidR="00075289">
        <w:t>,</w:t>
      </w:r>
      <w:r w:rsidRPr="00DC4069">
        <w:t xml:space="preserve"> visant à favoriser </w:t>
      </w:r>
      <w:r w:rsidR="00075289">
        <w:t xml:space="preserve">l’inclusion et l’engagement dans le programme des parties prenantes territoriales, destiné </w:t>
      </w:r>
      <w:r w:rsidR="00DC4069">
        <w:t xml:space="preserve"> </w:t>
      </w:r>
      <w:r w:rsidR="004702A9">
        <w:t>aux</w:t>
      </w:r>
      <w:r w:rsidR="00DC4069" w:rsidRPr="00DC4069">
        <w:t xml:space="preserve"> organisation</w:t>
      </w:r>
      <w:r w:rsidR="004702A9">
        <w:t>s</w:t>
      </w:r>
      <w:r w:rsidR="00DC4069" w:rsidRPr="00DC4069">
        <w:t xml:space="preserve"> de la société civ</w:t>
      </w:r>
      <w:r w:rsidR="002F3E19">
        <w:t xml:space="preserve">ile </w:t>
      </w:r>
      <w:r w:rsidR="000B7367">
        <w:t>surtout</w:t>
      </w:r>
      <w:r w:rsidR="002F3E19">
        <w:t xml:space="preserve"> celles visant</w:t>
      </w:r>
      <w:r w:rsidR="00DC4069" w:rsidRPr="00DC4069">
        <w:t xml:space="preserve"> à l’inclusion des jeunes et des femmes, </w:t>
      </w:r>
      <w:r w:rsidR="002F3E19">
        <w:t xml:space="preserve">en </w:t>
      </w:r>
      <w:r w:rsidR="000B7367">
        <w:t xml:space="preserve">accord avec </w:t>
      </w:r>
      <w:r w:rsidR="00DC4069" w:rsidRPr="00DC4069">
        <w:t xml:space="preserve">la stratégie de l'Union </w:t>
      </w:r>
      <w:r w:rsidR="000B7367">
        <w:t>E</w:t>
      </w:r>
      <w:r w:rsidR="00DC4069" w:rsidRPr="00DC4069">
        <w:t xml:space="preserve">uropéenne en faveur de la jeunesse et </w:t>
      </w:r>
      <w:r w:rsidR="002F3E19">
        <w:t xml:space="preserve"> qui a </w:t>
      </w:r>
      <w:r w:rsidR="00B573B3">
        <w:t xml:space="preserve">été </w:t>
      </w:r>
      <w:r w:rsidR="00DC4069" w:rsidRPr="00DC4069">
        <w:t xml:space="preserve">marquée par la désignation de </w:t>
      </w:r>
      <w:r w:rsidR="00B573B3" w:rsidRPr="00DC4069">
        <w:t xml:space="preserve"> </w:t>
      </w:r>
      <w:r w:rsidR="00B573B3">
        <w:t xml:space="preserve">l’année </w:t>
      </w:r>
      <w:r w:rsidR="00DC4069" w:rsidRPr="00DC4069">
        <w:t>2022 comme Année européenne de la jeunesse</w:t>
      </w:r>
      <w:r w:rsidR="00DC4069" w:rsidRPr="00DC4069">
        <w:rPr>
          <w:rStyle w:val="Rimandonotaapidipagina"/>
        </w:rPr>
        <w:footnoteReference w:id="12"/>
      </w:r>
      <w:r w:rsidR="002F3E19">
        <w:t>.</w:t>
      </w:r>
    </w:p>
    <w:p w14:paraId="304BE40B" w14:textId="77777777" w:rsidR="002F3E19" w:rsidRDefault="002F3E19" w:rsidP="002F3E19">
      <w:pPr>
        <w:jc w:val="both"/>
      </w:pPr>
    </w:p>
    <w:p w14:paraId="4D2A361B" w14:textId="46979CCD" w:rsidR="0034030E" w:rsidRDefault="0034030E" w:rsidP="00F42C80">
      <w:pPr>
        <w:pStyle w:val="Titolo2"/>
        <w:numPr>
          <w:ilvl w:val="1"/>
          <w:numId w:val="46"/>
        </w:numPr>
      </w:pPr>
      <w:bookmarkStart w:id="36" w:name="_Toc506480690"/>
      <w:bookmarkStart w:id="37" w:name="_Toc506481165"/>
      <w:bookmarkStart w:id="38" w:name="_Toc506481187"/>
      <w:bookmarkStart w:id="39" w:name="_Toc506481286"/>
      <w:bookmarkStart w:id="40" w:name="_Toc507758751"/>
      <w:r>
        <w:t xml:space="preserve">L’appel </w:t>
      </w:r>
      <w:r w:rsidR="007B15AE">
        <w:t xml:space="preserve">à </w:t>
      </w:r>
      <w:r>
        <w:t>petits projets</w:t>
      </w:r>
      <w:bookmarkEnd w:id="40"/>
    </w:p>
    <w:p w14:paraId="23121726" w14:textId="25D8FED2" w:rsidR="00646E83" w:rsidRDefault="0034030E" w:rsidP="00646E83">
      <w:pPr>
        <w:jc w:val="both"/>
      </w:pPr>
      <w:r w:rsidRPr="0034030E">
        <w:t>Ce</w:t>
      </w:r>
      <w:r>
        <w:t>tte</w:t>
      </w:r>
      <w:r w:rsidRPr="0034030E">
        <w:t xml:space="preserve"> typ</w:t>
      </w:r>
      <w:r>
        <w:t>ologie</w:t>
      </w:r>
      <w:r w:rsidRPr="0034030E">
        <w:t xml:space="preserve"> d'appel, qui est prévu en une seule étape (formul</w:t>
      </w:r>
      <w:r>
        <w:t>aire de candidature complet) et aura un valeur indicatif de €</w:t>
      </w:r>
      <w:r w:rsidR="005A33D7">
        <w:t xml:space="preserve"> 800.000, c’est-à-dire</w:t>
      </w:r>
      <w:r w:rsidR="00646E83">
        <w:t xml:space="preserve"> le 27% des allocations prévues pour l’OSI 1.6. L</w:t>
      </w:r>
      <w:r w:rsidR="00646E83" w:rsidRPr="00E40D80">
        <w:t xml:space="preserve">e montant de contribution UE </w:t>
      </w:r>
      <w:r w:rsidR="00646E83">
        <w:t xml:space="preserve">est </w:t>
      </w:r>
      <w:r w:rsidR="00646E83" w:rsidRPr="00E40D80">
        <w:t xml:space="preserve">compris </w:t>
      </w:r>
      <w:r w:rsidR="00646E83">
        <w:t xml:space="preserve">entre € 170.000 et € 200.000.  Le nombre maximal de partenaires admis est de deux (2) partenaires provenant d’un même pays. </w:t>
      </w:r>
      <w:r w:rsidR="00646E83" w:rsidRPr="00E40D80">
        <w:t xml:space="preserve"> En term</w:t>
      </w:r>
      <w:r w:rsidR="00646E83">
        <w:t>es de distribution territoriale</w:t>
      </w:r>
      <w:r w:rsidR="00646E83" w:rsidRPr="00E40D80">
        <w:t xml:space="preserve"> du budget dans les deux pays de coopération transfrontalière, au moins 40% du montant total de chaque projet doit être alloué aux partenaires d’un des deux pays</w:t>
      </w:r>
      <w:r w:rsidR="00646E83">
        <w:t xml:space="preserve">. La durée proposée des projets est de 12 mois. </w:t>
      </w:r>
    </w:p>
    <w:p w14:paraId="10B47F7B" w14:textId="77777777" w:rsidR="00646E83" w:rsidRDefault="00646E83" w:rsidP="00646E83">
      <w:pPr>
        <w:jc w:val="both"/>
      </w:pPr>
    </w:p>
    <w:p w14:paraId="4B1C2B5E" w14:textId="03931B1F" w:rsidR="00646E83" w:rsidRDefault="00646E83" w:rsidP="00646E83">
      <w:pPr>
        <w:pStyle w:val="Titolo2"/>
        <w:numPr>
          <w:ilvl w:val="1"/>
          <w:numId w:val="46"/>
        </w:numPr>
      </w:pPr>
      <w:bookmarkStart w:id="41" w:name="_Toc507758752"/>
      <w:r>
        <w:t>L’appel à projets standards</w:t>
      </w:r>
      <w:bookmarkEnd w:id="41"/>
    </w:p>
    <w:p w14:paraId="676A94E2" w14:textId="0CB3906F" w:rsidR="0034030E" w:rsidRPr="0034030E" w:rsidRDefault="0034030E" w:rsidP="0034030E"/>
    <w:bookmarkEnd w:id="36"/>
    <w:bookmarkEnd w:id="37"/>
    <w:bookmarkEnd w:id="38"/>
    <w:bookmarkEnd w:id="39"/>
    <w:p w14:paraId="303872D8" w14:textId="4244E364" w:rsidR="00646E83" w:rsidRPr="00C6323B" w:rsidRDefault="003A6F60" w:rsidP="00646E83">
      <w:pPr>
        <w:jc w:val="both"/>
        <w:rPr>
          <w:rFonts w:ascii="Calibri" w:eastAsia="Times New Roman" w:hAnsi="Calibri" w:cs="Times New Roman"/>
          <w:b/>
          <w:bCs/>
          <w:color w:val="FFFFFF"/>
          <w:sz w:val="24"/>
          <w:lang w:val="it-IT"/>
        </w:rPr>
      </w:pPr>
      <w:r w:rsidRPr="00E40D80">
        <w:t>Ce</w:t>
      </w:r>
      <w:r w:rsidR="00646E83">
        <w:t>tte</w:t>
      </w:r>
      <w:r w:rsidRPr="00E40D80">
        <w:t xml:space="preserve"> typ</w:t>
      </w:r>
      <w:r w:rsidR="00646E83">
        <w:t>ologie</w:t>
      </w:r>
      <w:r w:rsidRPr="00E40D80">
        <w:t xml:space="preserve"> d'appel, qui est prévu </w:t>
      </w:r>
      <w:r w:rsidR="005A4A3A">
        <w:t>en</w:t>
      </w:r>
      <w:r w:rsidR="005A4A3A" w:rsidRPr="00E40D80">
        <w:t xml:space="preserve"> </w:t>
      </w:r>
      <w:r w:rsidRPr="00E40D80">
        <w:t>une seule étape (formul</w:t>
      </w:r>
      <w:r w:rsidR="00075289">
        <w:t xml:space="preserve">aire de candidature complet),  </w:t>
      </w:r>
      <w:r w:rsidRPr="00E40D80">
        <w:t>comprendra tous les objectifs stratégiques et spécifiques sélection</w:t>
      </w:r>
      <w:r w:rsidR="00075289">
        <w:t>nés par le Programme</w:t>
      </w:r>
      <w:r w:rsidR="00646E83">
        <w:t xml:space="preserve">, </w:t>
      </w:r>
      <w:r w:rsidR="00C6323B">
        <w:t>à l’exclusion</w:t>
      </w:r>
      <w:r w:rsidR="00075289">
        <w:t xml:space="preserve"> </w:t>
      </w:r>
      <w:r w:rsidR="00166CE7">
        <w:t xml:space="preserve">des petits projets qui on fait l’objet du premier appel. </w:t>
      </w:r>
      <w:r w:rsidR="00075289">
        <w:t xml:space="preserve"> </w:t>
      </w:r>
      <w:r w:rsidR="00C6323B">
        <w:t>L’appel</w:t>
      </w:r>
      <w:r w:rsidR="00166CE7">
        <w:t xml:space="preserve"> </w:t>
      </w:r>
      <w:r w:rsidR="00DB02CC">
        <w:t>aura un</w:t>
      </w:r>
      <w:r w:rsidR="00DB02CC" w:rsidRPr="00E40D80">
        <w:t>e valeur indicative de € 19.603.658, c’est-à-dire le 70% des allocations prévues pour OS 1, OS 2 et OS 4 et le 44% pour les restantes</w:t>
      </w:r>
      <w:r w:rsidR="006247BE">
        <w:t xml:space="preserve"> initiatives</w:t>
      </w:r>
      <w:r w:rsidR="00C812D1">
        <w:t xml:space="preserve"> de l’OSI 1</w:t>
      </w:r>
      <w:r w:rsidR="00C6323B">
        <w:t>.6</w:t>
      </w:r>
      <w:r w:rsidR="00DB02CC">
        <w:t>.</w:t>
      </w:r>
      <w:r w:rsidR="00646E83">
        <w:t xml:space="preserve"> </w:t>
      </w:r>
    </w:p>
    <w:p w14:paraId="30E6EB25" w14:textId="32F65C1C" w:rsidR="00534942" w:rsidRPr="002D37D9" w:rsidRDefault="00534942" w:rsidP="003A6F60">
      <w:pPr>
        <w:jc w:val="both"/>
        <w:rPr>
          <w:rFonts w:ascii="Calibri" w:eastAsia="Times New Roman" w:hAnsi="Calibri" w:cs="Times New Roman"/>
          <w:b/>
          <w:bCs/>
          <w:sz w:val="24"/>
        </w:rPr>
      </w:pPr>
    </w:p>
    <w:p w14:paraId="41083D28" w14:textId="6385E1C5" w:rsidR="005D3580" w:rsidRDefault="00E40D80" w:rsidP="00E40D80">
      <w:pPr>
        <w:jc w:val="both"/>
      </w:pPr>
      <w:r w:rsidRPr="00E40D80">
        <w:lastRenderedPageBreak/>
        <w:t>Les projets devront répondre uniquement à un seul Objectif spécifique.  La contribution de l'UE aux projets</w:t>
      </w:r>
      <w:r w:rsidR="00C812D1">
        <w:t xml:space="preserve"> relatifs à l’OS1, OS 2 et OS 4, </w:t>
      </w:r>
      <w:r w:rsidR="006A5A27">
        <w:t>est compris</w:t>
      </w:r>
      <w:r w:rsidR="005A4A3A">
        <w:t>e</w:t>
      </w:r>
      <w:r w:rsidR="00C812D1">
        <w:t xml:space="preserve"> entre </w:t>
      </w:r>
      <w:r w:rsidRPr="00E40D80">
        <w:t xml:space="preserve">un minimum de € 800.000 et un maximum de € 1.200.000. Pour les projets </w:t>
      </w:r>
      <w:r w:rsidR="00C812D1">
        <w:t>de</w:t>
      </w:r>
      <w:r w:rsidRPr="00E40D80">
        <w:t xml:space="preserve"> l’Objectif </w:t>
      </w:r>
      <w:r w:rsidR="00386969" w:rsidRPr="00E40D80">
        <w:t>spécifique</w:t>
      </w:r>
      <w:r w:rsidRPr="00E40D80">
        <w:t xml:space="preserve"> à Interreg 1.6</w:t>
      </w:r>
      <w:r w:rsidR="00C812D1">
        <w:t>,</w:t>
      </w:r>
      <w:r w:rsidRPr="00E40D80">
        <w:t xml:space="preserve"> la contribution UE </w:t>
      </w:r>
      <w:r w:rsidR="006A5A27">
        <w:t>est</w:t>
      </w:r>
      <w:r w:rsidR="00C812D1">
        <w:t xml:space="preserve"> fixée</w:t>
      </w:r>
      <w:r w:rsidRPr="00E40D80">
        <w:t xml:space="preserve"> entre € 800.000 et € 1.000.000. </w:t>
      </w:r>
    </w:p>
    <w:p w14:paraId="7A256177" w14:textId="22332B65" w:rsidR="00E40D80" w:rsidRDefault="00386969" w:rsidP="00E40D80">
      <w:pPr>
        <w:jc w:val="both"/>
      </w:pPr>
      <w:r>
        <w:t>L</w:t>
      </w:r>
      <w:r w:rsidR="00E40D80" w:rsidRPr="00E40D80">
        <w:t>e partenariat ne peut inclure plus de trois (3) Partenaires provenant d’un même pays. Le nombre maximum admis de Partenaires par projet est de six organismes.</w:t>
      </w:r>
      <w:r w:rsidR="003B56FE">
        <w:t xml:space="preserve"> </w:t>
      </w:r>
      <w:r w:rsidR="00E40D80" w:rsidRPr="00E40D80">
        <w:t>En term</w:t>
      </w:r>
      <w:r w:rsidR="00FA095C">
        <w:t>es de distribution territoriale</w:t>
      </w:r>
      <w:r w:rsidR="00E40D80" w:rsidRPr="00E40D80">
        <w:t xml:space="preserve"> du budget dans les deux pays de coopération transfrontalière, au moins 40% du montant total de chaque projet doit être alloué aux partenaires d’un des deux pays</w:t>
      </w:r>
      <w:r w:rsidR="00E40D80">
        <w:t>.</w:t>
      </w:r>
    </w:p>
    <w:p w14:paraId="25BFFA25" w14:textId="6E24B28E" w:rsidR="00E40D80" w:rsidRDefault="00E40D80" w:rsidP="00E40D80">
      <w:pPr>
        <w:jc w:val="both"/>
      </w:pPr>
      <w:r>
        <w:t>La duré</w:t>
      </w:r>
      <w:r w:rsidR="00FA095C">
        <w:t>e</w:t>
      </w:r>
      <w:r>
        <w:t xml:space="preserve"> </w:t>
      </w:r>
      <w:r w:rsidR="000355D3">
        <w:t>proposé</w:t>
      </w:r>
      <w:r w:rsidR="00FA095C">
        <w:t>e</w:t>
      </w:r>
      <w:r w:rsidR="000355D3">
        <w:t xml:space="preserve"> </w:t>
      </w:r>
      <w:r>
        <w:t xml:space="preserve">des projets </w:t>
      </w:r>
      <w:r w:rsidR="000355D3">
        <w:t xml:space="preserve">est </w:t>
      </w:r>
      <w:r w:rsidR="001018AC">
        <w:t xml:space="preserve">de </w:t>
      </w:r>
      <w:r w:rsidR="000355D3">
        <w:t>24-36 mois</w:t>
      </w:r>
      <w:r>
        <w:t xml:space="preserve"> </w:t>
      </w:r>
      <w:r w:rsidR="00C812D1">
        <w:t>pour les projets de l’</w:t>
      </w:r>
      <w:r>
        <w:t xml:space="preserve">OS 1, </w:t>
      </w:r>
      <w:r w:rsidR="00386969">
        <w:t>OS</w:t>
      </w:r>
      <w:r>
        <w:t xml:space="preserve">2 et </w:t>
      </w:r>
      <w:r w:rsidR="00386969">
        <w:t>OS</w:t>
      </w:r>
      <w:r w:rsidR="00144C88">
        <w:t xml:space="preserve">4, </w:t>
      </w:r>
      <w:r w:rsidR="000355D3">
        <w:t>de 16-18</w:t>
      </w:r>
      <w:r w:rsidR="00144C88">
        <w:t xml:space="preserve"> mois </w:t>
      </w:r>
      <w:r>
        <w:t>pour l’ OSI 1.6</w:t>
      </w:r>
      <w:r w:rsidR="00386969">
        <w:t xml:space="preserve">. </w:t>
      </w:r>
      <w:r>
        <w:t xml:space="preserve"> </w:t>
      </w:r>
    </w:p>
    <w:p w14:paraId="14255940" w14:textId="77777777" w:rsidR="00386969" w:rsidRDefault="00386969" w:rsidP="00E40D80">
      <w:pPr>
        <w:jc w:val="both"/>
      </w:pPr>
    </w:p>
    <w:p w14:paraId="2A4FCBD6" w14:textId="0854B576" w:rsidR="00E40D80" w:rsidRPr="00E40D80" w:rsidRDefault="00386969" w:rsidP="00900D25">
      <w:pPr>
        <w:pStyle w:val="Titolo2"/>
        <w:numPr>
          <w:ilvl w:val="1"/>
          <w:numId w:val="46"/>
        </w:numPr>
      </w:pPr>
      <w:bookmarkStart w:id="42" w:name="_Toc506480691"/>
      <w:bookmarkStart w:id="43" w:name="_Toc506481166"/>
      <w:bookmarkStart w:id="44" w:name="_Toc506481188"/>
      <w:bookmarkStart w:id="45" w:name="_Toc506481287"/>
      <w:bookmarkStart w:id="46" w:name="_Toc507758753"/>
      <w:r>
        <w:t>L’appel à projets de capitalisation</w:t>
      </w:r>
      <w:bookmarkEnd w:id="42"/>
      <w:bookmarkEnd w:id="43"/>
      <w:bookmarkEnd w:id="44"/>
      <w:bookmarkEnd w:id="45"/>
      <w:bookmarkEnd w:id="46"/>
    </w:p>
    <w:p w14:paraId="5077AFD0" w14:textId="77777777" w:rsidR="00534942" w:rsidRDefault="00534942" w:rsidP="00534942"/>
    <w:p w14:paraId="3567D7FA" w14:textId="59CC91EA" w:rsidR="00386969" w:rsidRDefault="00386969" w:rsidP="00ED5670">
      <w:pPr>
        <w:jc w:val="both"/>
      </w:pPr>
      <w:r>
        <w:t xml:space="preserve">Les projets </w:t>
      </w:r>
      <w:r w:rsidR="005D6D20">
        <w:t>financés</w:t>
      </w:r>
      <w:r>
        <w:t xml:space="preserve"> par les programmes </w:t>
      </w:r>
      <w:r w:rsidR="005D6D20">
        <w:t>passés</w:t>
      </w:r>
      <w:r>
        <w:t xml:space="preserve"> </w:t>
      </w:r>
      <w:r w:rsidR="005D6D20">
        <w:t xml:space="preserve">représentent </w:t>
      </w:r>
      <w:r>
        <w:t xml:space="preserve">un </w:t>
      </w:r>
      <w:r w:rsidR="005D6D20">
        <w:t>acquis</w:t>
      </w:r>
      <w:r>
        <w:t xml:space="preserve"> important à mettre </w:t>
      </w:r>
      <w:r w:rsidR="00D02C96">
        <w:t xml:space="preserve">à </w:t>
      </w:r>
      <w:r>
        <w:t>disposition</w:t>
      </w:r>
      <w:r w:rsidR="005D6D20">
        <w:t xml:space="preserve"> du programme.  Dans </w:t>
      </w:r>
      <w:r w:rsidR="00A478A1">
        <w:t>ces</w:t>
      </w:r>
      <w:r w:rsidR="005D6D20">
        <w:t xml:space="preserve"> terme</w:t>
      </w:r>
      <w:r w:rsidR="00A478A1">
        <w:t>s</w:t>
      </w:r>
      <w:r w:rsidR="00ED5670">
        <w:t xml:space="preserve"> cet appel</w:t>
      </w:r>
      <w:r w:rsidR="008A420F">
        <w:t xml:space="preserve">, qui se déroulera dans une seule </w:t>
      </w:r>
      <w:r w:rsidR="00D869CC">
        <w:t>étape</w:t>
      </w:r>
      <w:r w:rsidR="008A420F">
        <w:t xml:space="preserve"> (formulaire complet),</w:t>
      </w:r>
      <w:r w:rsidR="00ED5670">
        <w:t xml:space="preserve"> est orienté à </w:t>
      </w:r>
      <w:r w:rsidR="005D6D20">
        <w:t xml:space="preserve">la capitalisation et </w:t>
      </w:r>
      <w:r w:rsidR="00ED5670">
        <w:t xml:space="preserve">à </w:t>
      </w:r>
      <w:r w:rsidR="005D6D20">
        <w:t xml:space="preserve">la valorisations des </w:t>
      </w:r>
      <w:r w:rsidR="00965CBF">
        <w:t>expériences</w:t>
      </w:r>
      <w:r w:rsidR="00ED5670">
        <w:t xml:space="preserve">, </w:t>
      </w:r>
      <w:r w:rsidR="005D6D20">
        <w:t>soit en te</w:t>
      </w:r>
      <w:r w:rsidR="00ED5670">
        <w:t>r</w:t>
      </w:r>
      <w:r w:rsidR="005D6D20">
        <w:t>me de domaine d’</w:t>
      </w:r>
      <w:r w:rsidR="00965CBF">
        <w:t>intervention</w:t>
      </w:r>
      <w:r w:rsidR="005D6D20">
        <w:t xml:space="preserve"> que des </w:t>
      </w:r>
      <w:r w:rsidR="00965CBF">
        <w:t>méthodologies</w:t>
      </w:r>
      <w:r w:rsidR="00D869CC">
        <w:t xml:space="preserve"> et outils appliqué</w:t>
      </w:r>
      <w:r w:rsidR="005D6D20">
        <w:t>s</w:t>
      </w:r>
      <w:r w:rsidR="00ED5670">
        <w:t xml:space="preserve">, dans le but de </w:t>
      </w:r>
      <w:r w:rsidR="00965CBF">
        <w:t>tirer</w:t>
      </w:r>
      <w:r w:rsidR="00ED5670">
        <w:t xml:space="preserve"> </w:t>
      </w:r>
      <w:r w:rsidR="00ED5670" w:rsidRPr="00ED5670">
        <w:t xml:space="preserve">des leçons des </w:t>
      </w:r>
      <w:r w:rsidR="00965CBF" w:rsidRPr="00ED5670">
        <w:t>expériences</w:t>
      </w:r>
      <w:r w:rsidR="00ED5670" w:rsidRPr="00ED5670">
        <w:t xml:space="preserve"> vécues pour alimenter les pratiques à venir. La capitalisation est donc conçue comme une consolidation des connaissances sur lesquelles faire avancer, transférer, modéliser d'autres pratiques et solutions capables d'interagir dans d'autres contextes </w:t>
      </w:r>
      <w:r w:rsidR="00965CBF">
        <w:t xml:space="preserve">et </w:t>
      </w:r>
      <w:r w:rsidR="007D29E9">
        <w:t>territoires</w:t>
      </w:r>
      <w:r w:rsidR="00313C5E">
        <w:t xml:space="preserve">, créer synergies avec d’autres projets et initiatives qui intéressent l’espace de coopération et </w:t>
      </w:r>
      <w:r w:rsidR="008A420F">
        <w:t xml:space="preserve">qui </w:t>
      </w:r>
      <w:r w:rsidR="00313C5E">
        <w:t>peuvent engendr</w:t>
      </w:r>
      <w:r w:rsidR="00A478A1">
        <w:t>er</w:t>
      </w:r>
      <w:r w:rsidR="00313C5E">
        <w:t xml:space="preserve"> des actions de main</w:t>
      </w:r>
      <w:r w:rsidR="00A478A1">
        <w:t xml:space="preserve"> </w:t>
      </w:r>
      <w:r w:rsidR="00313C5E">
        <w:t xml:space="preserve">streaming à </w:t>
      </w:r>
      <w:r w:rsidR="00ED5670" w:rsidRPr="00ED5670">
        <w:t>niveau des politiques et des actions sectorielles.</w:t>
      </w:r>
      <w:r w:rsidR="007D29E9">
        <w:t xml:space="preserve"> </w:t>
      </w:r>
      <w:r w:rsidR="008A420F">
        <w:t>Il</w:t>
      </w:r>
      <w:r w:rsidR="00313C5E">
        <w:t xml:space="preserve"> s’agit d’une capitalisation </w:t>
      </w:r>
      <w:r w:rsidR="008A420F">
        <w:t xml:space="preserve">des résultats </w:t>
      </w:r>
      <w:r w:rsidR="00D869CC">
        <w:t>obtenus</w:t>
      </w:r>
      <w:r w:rsidR="008A420F">
        <w:t xml:space="preserve"> </w:t>
      </w:r>
      <w:r w:rsidR="00313C5E">
        <w:t>à niveaux des projets fina</w:t>
      </w:r>
      <w:r w:rsidR="008A420F">
        <w:t>ncés par le programme 2007-2013</w:t>
      </w:r>
      <w:r w:rsidR="00313C5E">
        <w:t>, 2014-2020 et même dans le 2021-2027</w:t>
      </w:r>
      <w:r w:rsidR="00E756D6">
        <w:t xml:space="preserve"> du programme Italie Tunisie mais aussi du programme Bassin Med</w:t>
      </w:r>
      <w:r w:rsidR="008A420F">
        <w:t xml:space="preserve">. </w:t>
      </w:r>
    </w:p>
    <w:p w14:paraId="4105C2F5" w14:textId="1806A7F6" w:rsidR="003424E9" w:rsidRPr="00AE75D7" w:rsidRDefault="008A420F" w:rsidP="003424E9">
      <w:pPr>
        <w:jc w:val="both"/>
      </w:pPr>
      <w:r>
        <w:t xml:space="preserve">L’appel aura un montant indicatif </w:t>
      </w:r>
      <w:r w:rsidR="003424E9">
        <w:t xml:space="preserve">du cofinancement UE de </w:t>
      </w:r>
      <w:r w:rsidR="003424E9" w:rsidRPr="003424E9">
        <w:t>€ 8.703.093</w:t>
      </w:r>
      <w:r w:rsidR="008744BF" w:rsidRPr="00AE75D7">
        <w:t xml:space="preserve">, environs 30% du cofinancement UE pour les projets.  </w:t>
      </w:r>
      <w:r w:rsidR="003424E9" w:rsidRPr="00AE75D7">
        <w:t xml:space="preserve"> </w:t>
      </w:r>
      <w:r w:rsidR="008744BF" w:rsidRPr="00AE75D7">
        <w:t xml:space="preserve">Plus exactement il </w:t>
      </w:r>
      <w:r w:rsidR="00C94E01" w:rsidRPr="00AE75D7">
        <w:t>représente</w:t>
      </w:r>
      <w:r w:rsidR="00FA095C">
        <w:t xml:space="preserve"> le </w:t>
      </w:r>
      <w:r w:rsidR="003424E9" w:rsidRPr="00AE75D7">
        <w:t xml:space="preserve">30% du cofinancement UE </w:t>
      </w:r>
      <w:r w:rsidR="008744BF" w:rsidRPr="00AE75D7">
        <w:t xml:space="preserve">pour les OS1, OS2 et OS 4 et </w:t>
      </w:r>
      <w:r w:rsidR="003424E9" w:rsidRPr="00AE75D7">
        <w:t xml:space="preserve">  </w:t>
      </w:r>
      <w:r w:rsidR="008744BF" w:rsidRPr="00AE75D7">
        <w:t xml:space="preserve">le </w:t>
      </w:r>
      <w:r w:rsidR="00C94E01">
        <w:t>4</w:t>
      </w:r>
      <w:r w:rsidR="008744BF" w:rsidRPr="00AE75D7">
        <w:t xml:space="preserve">0% du </w:t>
      </w:r>
      <w:r w:rsidR="00C94E01" w:rsidRPr="00AE75D7">
        <w:t>montant</w:t>
      </w:r>
      <w:r w:rsidR="008744BF" w:rsidRPr="00AE75D7">
        <w:t xml:space="preserve"> alloué à OSI 1. </w:t>
      </w:r>
    </w:p>
    <w:p w14:paraId="1E39E2F7" w14:textId="3A055CCD" w:rsidR="008744BF" w:rsidRDefault="008744BF" w:rsidP="003424E9">
      <w:pPr>
        <w:jc w:val="both"/>
      </w:pPr>
      <w:r w:rsidRPr="00E40D80">
        <w:t>Les projets devront répondre à un seul Objectif spécifique</w:t>
      </w:r>
      <w:r>
        <w:t xml:space="preserve">, mais </w:t>
      </w:r>
      <w:r w:rsidR="0096601E">
        <w:t xml:space="preserve">pour les projets </w:t>
      </w:r>
      <w:r w:rsidR="00FF4AEC">
        <w:t>encadrés</w:t>
      </w:r>
      <w:r w:rsidR="00DD3116">
        <w:t xml:space="preserve"> dans L’OS 1, l’</w:t>
      </w:r>
      <w:r w:rsidR="0096601E">
        <w:t>OS 4</w:t>
      </w:r>
      <w:r w:rsidR="00FF4AEC">
        <w:t xml:space="preserve"> et OSI 1</w:t>
      </w:r>
      <w:r w:rsidR="00DA3991">
        <w:t xml:space="preserve">.6, </w:t>
      </w:r>
      <w:r w:rsidR="0096601E">
        <w:t xml:space="preserve">ils </w:t>
      </w:r>
      <w:r w:rsidR="00FF4AEC">
        <w:t xml:space="preserve">seront </w:t>
      </w:r>
      <w:r w:rsidR="00C94E01">
        <w:t>tenus</w:t>
      </w:r>
      <w:r w:rsidR="00FF4AEC">
        <w:t xml:space="preserve"> à avoir</w:t>
      </w:r>
      <w:r w:rsidR="0096601E">
        <w:t xml:space="preserve"> un impact sur </w:t>
      </w:r>
      <w:r w:rsidR="00FF4AEC">
        <w:t xml:space="preserve">les objectifs spécifiques de l’OS 2. </w:t>
      </w:r>
      <w:r w:rsidR="00DD3116">
        <w:t>Cette condition</w:t>
      </w:r>
      <w:r w:rsidR="00F40A33">
        <w:t xml:space="preserve"> </w:t>
      </w:r>
      <w:r w:rsidR="00DD3116">
        <w:t xml:space="preserve">est indiquée  pour renforcer l’impact du programme sur </w:t>
      </w:r>
      <w:r w:rsidR="00C94E01">
        <w:t>l’</w:t>
      </w:r>
      <w:r w:rsidR="00DD3116">
        <w:t xml:space="preserve">Objectif </w:t>
      </w:r>
      <w:r w:rsidR="00C94E01">
        <w:t>stratégique</w:t>
      </w:r>
      <w:r w:rsidR="00DD3116">
        <w:t xml:space="preserve"> «  Un espace de </w:t>
      </w:r>
      <w:r w:rsidR="00C94E01">
        <w:t>coopération</w:t>
      </w:r>
      <w:r w:rsidR="00DD3116">
        <w:t xml:space="preserve"> </w:t>
      </w:r>
      <w:r w:rsidR="00DD3116" w:rsidRPr="00AE75D7">
        <w:t xml:space="preserve"> plus vert, résilient et à faibles émissions de carbone » qui est considéré comme prioritaire au sein de la </w:t>
      </w:r>
      <w:r w:rsidR="00C94E01" w:rsidRPr="00AE75D7">
        <w:t>stratégie</w:t>
      </w:r>
      <w:r w:rsidR="00DD3116" w:rsidRPr="00AE75D7">
        <w:t xml:space="preserve"> de l’Europe pour le 2021-2027.</w:t>
      </w:r>
    </w:p>
    <w:p w14:paraId="6FC6AED4" w14:textId="3A510B89" w:rsidR="00354460" w:rsidRDefault="008744BF" w:rsidP="00354460">
      <w:pPr>
        <w:jc w:val="both"/>
      </w:pPr>
      <w:r w:rsidRPr="00E40D80">
        <w:t xml:space="preserve">La contribution de l'UE </w:t>
      </w:r>
      <w:r w:rsidR="00094A32">
        <w:t xml:space="preserve">proposée </w:t>
      </w:r>
      <w:r w:rsidR="000B7367">
        <w:t xml:space="preserve">dans cet appel </w:t>
      </w:r>
      <w:r w:rsidR="00094A32">
        <w:t xml:space="preserve">est </w:t>
      </w:r>
      <w:r w:rsidR="00FF4AEC">
        <w:t>de mineur</w:t>
      </w:r>
      <w:r w:rsidR="00A478A1">
        <w:t>e</w:t>
      </w:r>
      <w:r w:rsidR="00FF4AEC">
        <w:t xml:space="preserve"> entité car on suppose que </w:t>
      </w:r>
      <w:r w:rsidR="00DD3116">
        <w:t xml:space="preserve">les projets de capitalisation </w:t>
      </w:r>
      <w:r w:rsidR="00FF4AEC" w:rsidRPr="00FF4AEC">
        <w:t xml:space="preserve">nécessitent moins de préparation et </w:t>
      </w:r>
      <w:r w:rsidR="00DD3116">
        <w:t xml:space="preserve">vont se </w:t>
      </w:r>
      <w:r w:rsidR="00FF4AEC" w:rsidRPr="00FF4AEC">
        <w:t>concentre</w:t>
      </w:r>
      <w:r w:rsidR="00DD3116">
        <w:t>r plutôt</w:t>
      </w:r>
      <w:r w:rsidR="00FF4AEC" w:rsidRPr="00FF4AEC">
        <w:t xml:space="preserve"> sur le processus de mise en œuvre.</w:t>
      </w:r>
      <w:r w:rsidR="00C94E01">
        <w:t xml:space="preserve"> La contribution UE s’</w:t>
      </w:r>
      <w:r w:rsidRPr="00E40D80">
        <w:t>élève à un minimum de</w:t>
      </w:r>
      <w:r w:rsidR="00094A32">
        <w:t xml:space="preserve"> € 800.000 et un maximum de € 1.000</w:t>
      </w:r>
      <w:r w:rsidRPr="00E40D80">
        <w:t xml:space="preserve">.000 </w:t>
      </w:r>
      <w:r w:rsidR="00354460">
        <w:t xml:space="preserve">pour </w:t>
      </w:r>
      <w:r w:rsidR="00C94E01">
        <w:t>les projets à présenter dans le</w:t>
      </w:r>
      <w:r w:rsidR="00354460">
        <w:t xml:space="preserve"> complexe des OS </w:t>
      </w:r>
      <w:r w:rsidR="00A067FD">
        <w:t>prévus</w:t>
      </w:r>
      <w:r w:rsidR="00354460">
        <w:t>. L</w:t>
      </w:r>
      <w:r w:rsidR="00354460" w:rsidRPr="00E40D80">
        <w:t>e parte</w:t>
      </w:r>
      <w:r w:rsidR="00354460">
        <w:t xml:space="preserve">nariat ne peut inclure plus de </w:t>
      </w:r>
      <w:r w:rsidR="000355D3">
        <w:t>trois</w:t>
      </w:r>
      <w:r w:rsidR="00354460">
        <w:t xml:space="preserve"> </w:t>
      </w:r>
      <w:r w:rsidR="00354460" w:rsidRPr="00E40D80">
        <w:t>(</w:t>
      </w:r>
      <w:r w:rsidR="000355D3">
        <w:t>3</w:t>
      </w:r>
      <w:r w:rsidR="00354460" w:rsidRPr="00E40D80">
        <w:t xml:space="preserve">) </w:t>
      </w:r>
      <w:r w:rsidR="00354460">
        <w:t>p</w:t>
      </w:r>
      <w:r w:rsidR="00354460" w:rsidRPr="00E40D80">
        <w:t xml:space="preserve">artenaires provenant d’un même pays. Le nombre maximum admis de Partenaires par projet est de </w:t>
      </w:r>
      <w:r w:rsidR="000355D3">
        <w:t>si</w:t>
      </w:r>
      <w:r w:rsidR="00243A97">
        <w:t>x</w:t>
      </w:r>
      <w:r w:rsidR="00354460">
        <w:t xml:space="preserve"> (</w:t>
      </w:r>
      <w:r w:rsidR="00243A97">
        <w:t>6</w:t>
      </w:r>
      <w:r w:rsidR="00354460">
        <w:t>)</w:t>
      </w:r>
      <w:r w:rsidR="00354460" w:rsidRPr="00E40D80">
        <w:t xml:space="preserve"> organismes.</w:t>
      </w:r>
      <w:r w:rsidR="00F40A33">
        <w:t xml:space="preserve"> </w:t>
      </w:r>
      <w:r w:rsidR="00354460" w:rsidRPr="00E40D80">
        <w:t>En term</w:t>
      </w:r>
      <w:r w:rsidR="00FA095C">
        <w:t>es de distribution territoriale</w:t>
      </w:r>
      <w:r w:rsidR="00354460" w:rsidRPr="00E40D80">
        <w:t xml:space="preserve"> du budget dans les deux pays de coopération transfrontalière, au moins 40% du montant total de chaque projet doit être alloué aux partenaires d’un des deux pays</w:t>
      </w:r>
      <w:r w:rsidR="00354460">
        <w:t>.</w:t>
      </w:r>
    </w:p>
    <w:p w14:paraId="5533CAC2" w14:textId="70CDF655" w:rsidR="00243A97" w:rsidRDefault="00243A97" w:rsidP="00243A97">
      <w:pPr>
        <w:jc w:val="both"/>
      </w:pPr>
      <w:r>
        <w:t>La duré</w:t>
      </w:r>
      <w:r w:rsidR="00F40A33">
        <w:t>e</w:t>
      </w:r>
      <w:r>
        <w:t xml:space="preserve"> proposé</w:t>
      </w:r>
      <w:r w:rsidR="00A478A1">
        <w:t>e</w:t>
      </w:r>
      <w:r>
        <w:t xml:space="preserve"> des projets est entre 18-24 mois pour les projets du OS 1, OS2 et OS4, de 16-18</w:t>
      </w:r>
      <w:r w:rsidR="00E26417">
        <w:t xml:space="preserve"> mois</w:t>
      </w:r>
      <w:r>
        <w:t xml:space="preserve"> pour l’ OSI 1.6</w:t>
      </w:r>
      <w:r w:rsidR="00E26417">
        <w:t xml:space="preserve"> (à l’exclusion des petits projets). </w:t>
      </w:r>
    </w:p>
    <w:p w14:paraId="3326F7F1" w14:textId="77777777" w:rsidR="00F5127A" w:rsidRDefault="00F5127A" w:rsidP="00243A97">
      <w:pPr>
        <w:jc w:val="both"/>
      </w:pPr>
    </w:p>
    <w:p w14:paraId="0F14C015" w14:textId="77777777" w:rsidR="00E26417" w:rsidRDefault="00E26417" w:rsidP="00243A97">
      <w:pPr>
        <w:jc w:val="both"/>
        <w:rPr>
          <w:sz w:val="18"/>
          <w:szCs w:val="18"/>
        </w:rPr>
      </w:pPr>
    </w:p>
    <w:p w14:paraId="7AC5F0AC" w14:textId="77777777" w:rsidR="00DA3991" w:rsidRDefault="00DA3991" w:rsidP="00243A97">
      <w:pPr>
        <w:jc w:val="both"/>
        <w:rPr>
          <w:sz w:val="18"/>
          <w:szCs w:val="18"/>
        </w:rPr>
      </w:pPr>
    </w:p>
    <w:p w14:paraId="16AF0347" w14:textId="77777777" w:rsidR="00DA3991" w:rsidRDefault="00DA3991" w:rsidP="00243A97">
      <w:pPr>
        <w:jc w:val="both"/>
        <w:rPr>
          <w:sz w:val="18"/>
          <w:szCs w:val="18"/>
        </w:rPr>
      </w:pPr>
    </w:p>
    <w:p w14:paraId="531D79F5" w14:textId="77777777" w:rsidR="00DA3991" w:rsidRDefault="00DA3991" w:rsidP="00243A97">
      <w:pPr>
        <w:jc w:val="both"/>
        <w:rPr>
          <w:sz w:val="18"/>
          <w:szCs w:val="18"/>
        </w:rPr>
      </w:pPr>
    </w:p>
    <w:p w14:paraId="2CDC8A91" w14:textId="77777777" w:rsidR="00DA3991" w:rsidRDefault="00DA3991" w:rsidP="00243A97">
      <w:pPr>
        <w:jc w:val="both"/>
        <w:rPr>
          <w:sz w:val="18"/>
          <w:szCs w:val="18"/>
        </w:rPr>
      </w:pPr>
    </w:p>
    <w:p w14:paraId="2A19A8FE" w14:textId="77777777" w:rsidR="00E26417" w:rsidRDefault="00E26417" w:rsidP="00243A97">
      <w:pPr>
        <w:jc w:val="both"/>
        <w:rPr>
          <w:sz w:val="18"/>
          <w:szCs w:val="18"/>
        </w:rPr>
      </w:pPr>
    </w:p>
    <w:p w14:paraId="3574D710" w14:textId="77777777" w:rsidR="00E26417" w:rsidRDefault="00E26417" w:rsidP="00243A97">
      <w:pPr>
        <w:jc w:val="both"/>
        <w:rPr>
          <w:sz w:val="18"/>
          <w:szCs w:val="18"/>
        </w:rPr>
      </w:pPr>
    </w:p>
    <w:p w14:paraId="3C8787AC" w14:textId="3AC7BC3F" w:rsidR="006A5A27" w:rsidRPr="00F07A9B" w:rsidRDefault="002A50DA" w:rsidP="00243A97">
      <w:pPr>
        <w:jc w:val="both"/>
        <w:rPr>
          <w:sz w:val="18"/>
          <w:szCs w:val="18"/>
        </w:rPr>
      </w:pPr>
      <w:r w:rsidRPr="00F07A9B">
        <w:rPr>
          <w:sz w:val="18"/>
          <w:szCs w:val="18"/>
        </w:rPr>
        <w:lastRenderedPageBreak/>
        <w:t xml:space="preserve">ALLOCATION INDICATIVE PAR APPEL </w:t>
      </w:r>
      <w:r w:rsidR="003F770C">
        <w:rPr>
          <w:sz w:val="18"/>
          <w:szCs w:val="18"/>
        </w:rPr>
        <w:t>À P</w:t>
      </w:r>
      <w:r w:rsidR="00137C23">
        <w:rPr>
          <w:sz w:val="18"/>
          <w:szCs w:val="18"/>
        </w:rPr>
        <w:t>ROJETS</w:t>
      </w:r>
    </w:p>
    <w:p w14:paraId="41027DFD" w14:textId="77777777" w:rsidR="00A067FD" w:rsidRDefault="00A067FD" w:rsidP="00243A97">
      <w:pPr>
        <w:jc w:val="both"/>
      </w:pPr>
    </w:p>
    <w:p w14:paraId="1F35C01B" w14:textId="6B5AA202" w:rsidR="00F5127A" w:rsidRDefault="00887FE5" w:rsidP="00243A97">
      <w:pPr>
        <w:jc w:val="both"/>
      </w:pPr>
      <w:r>
        <w:rPr>
          <w:noProof/>
          <w:lang w:val="it-IT"/>
        </w:rPr>
        <w:drawing>
          <wp:inline distT="0" distB="0" distL="0" distR="0" wp14:anchorId="446D6340" wp14:editId="2566A645">
            <wp:extent cx="6116320" cy="2166296"/>
            <wp:effectExtent l="0" t="0" r="5080" b="0"/>
            <wp:docPr id="1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6320" cy="2166296"/>
                    </a:xfrm>
                    <a:prstGeom prst="rect">
                      <a:avLst/>
                    </a:prstGeom>
                    <a:noFill/>
                    <a:ln>
                      <a:noFill/>
                    </a:ln>
                  </pic:spPr>
                </pic:pic>
              </a:graphicData>
            </a:graphic>
          </wp:inline>
        </w:drawing>
      </w:r>
    </w:p>
    <w:p w14:paraId="6C1796F6" w14:textId="77777777" w:rsidR="00F5127A" w:rsidRDefault="00F5127A" w:rsidP="00243A97">
      <w:pPr>
        <w:jc w:val="both"/>
      </w:pPr>
    </w:p>
    <w:p w14:paraId="10A217CB" w14:textId="77777777" w:rsidR="00F5127A" w:rsidRDefault="00F5127A" w:rsidP="00243A97">
      <w:pPr>
        <w:jc w:val="both"/>
      </w:pPr>
    </w:p>
    <w:p w14:paraId="35777FD8" w14:textId="77777777" w:rsidR="00F5127A" w:rsidRDefault="00F5127A" w:rsidP="00243A97">
      <w:pPr>
        <w:jc w:val="both"/>
      </w:pPr>
    </w:p>
    <w:p w14:paraId="05CB1EE9" w14:textId="77777777" w:rsidR="00F5127A" w:rsidRDefault="00F5127A" w:rsidP="00243A97">
      <w:pPr>
        <w:jc w:val="both"/>
      </w:pPr>
    </w:p>
    <w:p w14:paraId="17A81D51" w14:textId="20AB7CF4" w:rsidR="00A067FD" w:rsidRPr="00F07A9B" w:rsidRDefault="002A50DA" w:rsidP="00243A97">
      <w:pPr>
        <w:jc w:val="both"/>
        <w:rPr>
          <w:sz w:val="18"/>
          <w:szCs w:val="18"/>
        </w:rPr>
      </w:pPr>
      <w:r w:rsidRPr="00F07A9B">
        <w:rPr>
          <w:sz w:val="18"/>
          <w:szCs w:val="18"/>
        </w:rPr>
        <w:t>CON</w:t>
      </w:r>
      <w:r w:rsidR="003F770C">
        <w:rPr>
          <w:sz w:val="18"/>
          <w:szCs w:val="18"/>
        </w:rPr>
        <w:t xml:space="preserve">DITIONS INDICATIVES DES APPELS À </w:t>
      </w:r>
      <w:r w:rsidR="00137C23">
        <w:rPr>
          <w:sz w:val="18"/>
          <w:szCs w:val="18"/>
        </w:rPr>
        <w:t>PROJETS</w:t>
      </w:r>
    </w:p>
    <w:p w14:paraId="49CB8829" w14:textId="77777777" w:rsidR="002A50DA" w:rsidRPr="00137C90" w:rsidRDefault="002A50DA" w:rsidP="00243A97">
      <w:pPr>
        <w:jc w:val="both"/>
      </w:pPr>
    </w:p>
    <w:tbl>
      <w:tblPr>
        <w:tblStyle w:val="Grigliatabella"/>
        <w:tblW w:w="0" w:type="auto"/>
        <w:tblLayout w:type="fixed"/>
        <w:tblLook w:val="04A0" w:firstRow="1" w:lastRow="0" w:firstColumn="1" w:lastColumn="0" w:noHBand="0" w:noVBand="1"/>
      </w:tblPr>
      <w:tblGrid>
        <w:gridCol w:w="1392"/>
        <w:gridCol w:w="1320"/>
        <w:gridCol w:w="1280"/>
        <w:gridCol w:w="1219"/>
        <w:gridCol w:w="1134"/>
        <w:gridCol w:w="1276"/>
      </w:tblGrid>
      <w:tr w:rsidR="00993CBD" w:rsidRPr="00F5127A" w14:paraId="4FB01805" w14:textId="27E395E9" w:rsidTr="00E641E8">
        <w:tc>
          <w:tcPr>
            <w:tcW w:w="1392" w:type="dxa"/>
            <w:vMerge w:val="restart"/>
            <w:shd w:val="clear" w:color="auto" w:fill="4F81BD" w:themeFill="accent1"/>
            <w:vAlign w:val="center"/>
          </w:tcPr>
          <w:p w14:paraId="0A58C95F" w14:textId="77777777" w:rsidR="00993CBD" w:rsidRPr="00F5127A" w:rsidRDefault="00993CBD" w:rsidP="005D3580">
            <w:pPr>
              <w:rPr>
                <w:i/>
                <w:sz w:val="18"/>
                <w:szCs w:val="18"/>
              </w:rPr>
            </w:pPr>
          </w:p>
          <w:p w14:paraId="1DE3810B" w14:textId="77777777" w:rsidR="00993CBD" w:rsidRPr="00F5127A" w:rsidRDefault="00993CBD" w:rsidP="005D3580">
            <w:pPr>
              <w:rPr>
                <w:i/>
                <w:sz w:val="18"/>
                <w:szCs w:val="18"/>
              </w:rPr>
            </w:pPr>
          </w:p>
        </w:tc>
        <w:tc>
          <w:tcPr>
            <w:tcW w:w="1320" w:type="dxa"/>
            <w:shd w:val="clear" w:color="auto" w:fill="4F81BD" w:themeFill="accent1"/>
            <w:vAlign w:val="center"/>
          </w:tcPr>
          <w:p w14:paraId="1194C7BA" w14:textId="49A242F2" w:rsidR="00993CBD" w:rsidRPr="00FA095C" w:rsidRDefault="00993CBD" w:rsidP="003F770C">
            <w:pPr>
              <w:ind w:right="511"/>
              <w:jc w:val="center"/>
              <w:rPr>
                <w:b/>
                <w:i/>
                <w:color w:val="FFFFFF" w:themeColor="background1"/>
                <w:sz w:val="18"/>
                <w:szCs w:val="18"/>
              </w:rPr>
            </w:pPr>
            <w:r>
              <w:rPr>
                <w:b/>
                <w:i/>
                <w:color w:val="FFFFFF" w:themeColor="background1"/>
                <w:sz w:val="18"/>
                <w:szCs w:val="18"/>
              </w:rPr>
              <w:t>Appel   à petits projets</w:t>
            </w:r>
          </w:p>
        </w:tc>
        <w:tc>
          <w:tcPr>
            <w:tcW w:w="2499" w:type="dxa"/>
            <w:gridSpan w:val="2"/>
            <w:shd w:val="clear" w:color="auto" w:fill="4F81BD" w:themeFill="accent1"/>
            <w:vAlign w:val="center"/>
          </w:tcPr>
          <w:p w14:paraId="558408AD" w14:textId="70EF12CE" w:rsidR="00993CBD" w:rsidRPr="00FA095C" w:rsidRDefault="00993CBD" w:rsidP="003F770C">
            <w:pPr>
              <w:ind w:left="-727" w:right="-108" w:firstLine="727"/>
              <w:jc w:val="center"/>
              <w:rPr>
                <w:b/>
                <w:i/>
                <w:color w:val="FFFFFF" w:themeColor="background1"/>
                <w:sz w:val="18"/>
                <w:szCs w:val="18"/>
              </w:rPr>
            </w:pPr>
            <w:r>
              <w:rPr>
                <w:b/>
                <w:i/>
                <w:color w:val="FFFFFF" w:themeColor="background1"/>
                <w:sz w:val="18"/>
                <w:szCs w:val="18"/>
              </w:rPr>
              <w:t>A</w:t>
            </w:r>
            <w:r w:rsidRPr="00FA095C">
              <w:rPr>
                <w:b/>
                <w:i/>
                <w:color w:val="FFFFFF" w:themeColor="background1"/>
                <w:sz w:val="18"/>
                <w:szCs w:val="18"/>
              </w:rPr>
              <w:t xml:space="preserve">ppel  </w:t>
            </w:r>
            <w:r>
              <w:rPr>
                <w:b/>
                <w:i/>
                <w:color w:val="FFFFFF" w:themeColor="background1"/>
                <w:sz w:val="18"/>
                <w:szCs w:val="18"/>
              </w:rPr>
              <w:t xml:space="preserve">à </w:t>
            </w:r>
            <w:r w:rsidRPr="00FA095C">
              <w:rPr>
                <w:b/>
                <w:i/>
                <w:color w:val="FFFFFF" w:themeColor="background1"/>
                <w:sz w:val="18"/>
                <w:szCs w:val="18"/>
              </w:rPr>
              <w:t>projets standards</w:t>
            </w:r>
          </w:p>
        </w:tc>
        <w:tc>
          <w:tcPr>
            <w:tcW w:w="2410" w:type="dxa"/>
            <w:gridSpan w:val="2"/>
            <w:shd w:val="clear" w:color="auto" w:fill="4F81BD" w:themeFill="accent1"/>
            <w:vAlign w:val="center"/>
          </w:tcPr>
          <w:p w14:paraId="60FACC62" w14:textId="1EB16153" w:rsidR="00993CBD" w:rsidRPr="00FA095C" w:rsidRDefault="00993CBD" w:rsidP="003F770C">
            <w:pPr>
              <w:ind w:left="-108" w:right="-155"/>
              <w:jc w:val="center"/>
              <w:rPr>
                <w:b/>
                <w:i/>
                <w:color w:val="FFFFFF" w:themeColor="background1"/>
                <w:sz w:val="18"/>
                <w:szCs w:val="18"/>
              </w:rPr>
            </w:pPr>
            <w:r w:rsidRPr="00FA095C">
              <w:rPr>
                <w:b/>
                <w:i/>
                <w:color w:val="FFFFFF" w:themeColor="background1"/>
                <w:sz w:val="18"/>
                <w:szCs w:val="18"/>
              </w:rPr>
              <w:t xml:space="preserve">Appel </w:t>
            </w:r>
            <w:r>
              <w:rPr>
                <w:b/>
                <w:i/>
                <w:color w:val="FFFFFF" w:themeColor="background1"/>
                <w:sz w:val="18"/>
                <w:szCs w:val="18"/>
              </w:rPr>
              <w:t xml:space="preserve"> </w:t>
            </w:r>
            <w:r w:rsidRPr="00FA095C">
              <w:rPr>
                <w:b/>
                <w:i/>
                <w:color w:val="FFFFFF" w:themeColor="background1"/>
                <w:sz w:val="18"/>
                <w:szCs w:val="18"/>
              </w:rPr>
              <w:t>capitalisation</w:t>
            </w:r>
          </w:p>
        </w:tc>
      </w:tr>
      <w:tr w:rsidR="00993CBD" w:rsidRPr="00F5127A" w14:paraId="74FFC1CA" w14:textId="107FA30C" w:rsidTr="00E641E8">
        <w:tc>
          <w:tcPr>
            <w:tcW w:w="1392" w:type="dxa"/>
            <w:vMerge/>
            <w:shd w:val="clear" w:color="auto" w:fill="4F81BD" w:themeFill="accent1"/>
            <w:vAlign w:val="center"/>
          </w:tcPr>
          <w:p w14:paraId="319649DD" w14:textId="77777777" w:rsidR="00993CBD" w:rsidRPr="00F5127A" w:rsidRDefault="00993CBD" w:rsidP="005D3580">
            <w:pPr>
              <w:rPr>
                <w:i/>
                <w:sz w:val="18"/>
                <w:szCs w:val="18"/>
              </w:rPr>
            </w:pPr>
          </w:p>
        </w:tc>
        <w:tc>
          <w:tcPr>
            <w:tcW w:w="1320" w:type="dxa"/>
            <w:shd w:val="clear" w:color="auto" w:fill="4F81BD" w:themeFill="accent1"/>
            <w:vAlign w:val="center"/>
          </w:tcPr>
          <w:p w14:paraId="1AF7B3F1" w14:textId="65AC8E6B" w:rsidR="00993CBD" w:rsidRPr="00993CBD" w:rsidRDefault="00993CBD" w:rsidP="00B82FC7">
            <w:pPr>
              <w:tabs>
                <w:tab w:val="left" w:pos="1804"/>
              </w:tabs>
              <w:ind w:right="511"/>
              <w:rPr>
                <w:b/>
                <w:i/>
                <w:color w:val="FFFFFF" w:themeColor="background1"/>
                <w:sz w:val="18"/>
                <w:szCs w:val="18"/>
              </w:rPr>
            </w:pPr>
            <w:r w:rsidRPr="00993CBD">
              <w:rPr>
                <w:b/>
                <w:i/>
                <w:color w:val="FFFFFF" w:themeColor="background1"/>
                <w:sz w:val="18"/>
                <w:szCs w:val="18"/>
              </w:rPr>
              <w:t xml:space="preserve">OS I 1.6 </w:t>
            </w:r>
          </w:p>
        </w:tc>
        <w:tc>
          <w:tcPr>
            <w:tcW w:w="1280" w:type="dxa"/>
            <w:shd w:val="clear" w:color="auto" w:fill="4F81BD" w:themeFill="accent1"/>
            <w:vAlign w:val="center"/>
          </w:tcPr>
          <w:p w14:paraId="6D9C7927" w14:textId="6BFB1742" w:rsidR="00993CBD" w:rsidRPr="00993CBD" w:rsidRDefault="00993CBD" w:rsidP="005D3580">
            <w:pPr>
              <w:rPr>
                <w:b/>
                <w:i/>
                <w:color w:val="FFFFFF" w:themeColor="background1"/>
                <w:sz w:val="18"/>
                <w:szCs w:val="18"/>
              </w:rPr>
            </w:pPr>
          </w:p>
          <w:p w14:paraId="26E0AD27" w14:textId="3BE3D1DB" w:rsidR="00993CBD" w:rsidRPr="00993CBD" w:rsidRDefault="00993CBD" w:rsidP="005D3580">
            <w:pPr>
              <w:rPr>
                <w:b/>
                <w:i/>
                <w:color w:val="FFFFFF" w:themeColor="background1"/>
                <w:sz w:val="18"/>
                <w:szCs w:val="18"/>
              </w:rPr>
            </w:pPr>
            <w:r w:rsidRPr="00993CBD">
              <w:rPr>
                <w:b/>
                <w:i/>
                <w:color w:val="FFFFFF" w:themeColor="background1"/>
                <w:sz w:val="18"/>
                <w:szCs w:val="18"/>
              </w:rPr>
              <w:t>OS 1 OS 2 OS 4</w:t>
            </w:r>
          </w:p>
          <w:p w14:paraId="145F7EDF" w14:textId="77777777" w:rsidR="00993CBD" w:rsidRPr="00993CBD" w:rsidRDefault="00993CBD" w:rsidP="005D3580">
            <w:pPr>
              <w:rPr>
                <w:b/>
                <w:i/>
                <w:color w:val="FFFFFF" w:themeColor="background1"/>
                <w:sz w:val="18"/>
                <w:szCs w:val="18"/>
              </w:rPr>
            </w:pPr>
          </w:p>
        </w:tc>
        <w:tc>
          <w:tcPr>
            <w:tcW w:w="1219" w:type="dxa"/>
            <w:shd w:val="clear" w:color="auto" w:fill="4F81BD" w:themeFill="accent1"/>
            <w:vAlign w:val="center"/>
          </w:tcPr>
          <w:p w14:paraId="43E16D7D" w14:textId="4216C937" w:rsidR="00993CBD" w:rsidRPr="00993CBD" w:rsidRDefault="00993CBD" w:rsidP="005D3580">
            <w:pPr>
              <w:rPr>
                <w:b/>
                <w:i/>
                <w:color w:val="FFFFFF" w:themeColor="background1"/>
                <w:sz w:val="18"/>
                <w:szCs w:val="18"/>
              </w:rPr>
            </w:pPr>
            <w:r w:rsidRPr="00993CBD">
              <w:rPr>
                <w:b/>
                <w:i/>
                <w:color w:val="FFFFFF" w:themeColor="background1"/>
                <w:sz w:val="18"/>
                <w:szCs w:val="18"/>
              </w:rPr>
              <w:t xml:space="preserve"> OSI 1</w:t>
            </w:r>
          </w:p>
        </w:tc>
        <w:tc>
          <w:tcPr>
            <w:tcW w:w="1134" w:type="dxa"/>
            <w:shd w:val="clear" w:color="auto" w:fill="4F81BD" w:themeFill="accent1"/>
            <w:vAlign w:val="center"/>
          </w:tcPr>
          <w:p w14:paraId="67295F61" w14:textId="77777777" w:rsidR="00993CBD" w:rsidRPr="00993CBD" w:rsidRDefault="00993CBD" w:rsidP="00287A7B">
            <w:pPr>
              <w:rPr>
                <w:b/>
                <w:i/>
                <w:color w:val="FFFFFF" w:themeColor="background1"/>
                <w:sz w:val="18"/>
                <w:szCs w:val="18"/>
              </w:rPr>
            </w:pPr>
          </w:p>
          <w:p w14:paraId="263555CD" w14:textId="77777777" w:rsidR="00993CBD" w:rsidRPr="00993CBD" w:rsidRDefault="00993CBD" w:rsidP="00287A7B">
            <w:pPr>
              <w:rPr>
                <w:b/>
                <w:i/>
                <w:color w:val="FFFFFF" w:themeColor="background1"/>
                <w:sz w:val="18"/>
                <w:szCs w:val="18"/>
              </w:rPr>
            </w:pPr>
            <w:r w:rsidRPr="00993CBD">
              <w:rPr>
                <w:b/>
                <w:i/>
                <w:color w:val="FFFFFF" w:themeColor="background1"/>
                <w:sz w:val="18"/>
                <w:szCs w:val="18"/>
              </w:rPr>
              <w:t>OS 1 OS 2 OS 4</w:t>
            </w:r>
          </w:p>
          <w:p w14:paraId="56682928" w14:textId="66F101DB" w:rsidR="00993CBD" w:rsidRPr="00993CBD" w:rsidRDefault="00993CBD" w:rsidP="005D3580">
            <w:pPr>
              <w:rPr>
                <w:b/>
                <w:i/>
                <w:color w:val="FFFFFF" w:themeColor="background1"/>
                <w:sz w:val="18"/>
                <w:szCs w:val="18"/>
              </w:rPr>
            </w:pPr>
          </w:p>
        </w:tc>
        <w:tc>
          <w:tcPr>
            <w:tcW w:w="1276" w:type="dxa"/>
            <w:shd w:val="clear" w:color="auto" w:fill="4F81BD" w:themeFill="accent1"/>
            <w:vAlign w:val="center"/>
          </w:tcPr>
          <w:p w14:paraId="0B9EB5DD" w14:textId="2B7FD1DB" w:rsidR="00993CBD" w:rsidRPr="00993CBD" w:rsidRDefault="00993CBD" w:rsidP="00E641E8">
            <w:pPr>
              <w:ind w:right="-155"/>
              <w:rPr>
                <w:b/>
                <w:i/>
                <w:color w:val="FFFFFF" w:themeColor="background1"/>
                <w:sz w:val="18"/>
                <w:szCs w:val="18"/>
              </w:rPr>
            </w:pPr>
            <w:r w:rsidRPr="00993CBD">
              <w:rPr>
                <w:b/>
                <w:i/>
                <w:color w:val="FFFFFF" w:themeColor="background1"/>
                <w:sz w:val="18"/>
                <w:szCs w:val="18"/>
              </w:rPr>
              <w:t>OSI 1</w:t>
            </w:r>
          </w:p>
        </w:tc>
      </w:tr>
      <w:tr w:rsidR="005936E6" w:rsidRPr="00F5127A" w14:paraId="5D6DD701" w14:textId="62B3A318" w:rsidTr="00E641E8">
        <w:tc>
          <w:tcPr>
            <w:tcW w:w="1392" w:type="dxa"/>
            <w:vAlign w:val="center"/>
          </w:tcPr>
          <w:p w14:paraId="12BA4F8E" w14:textId="77777777" w:rsidR="005936E6" w:rsidRPr="00F5127A" w:rsidRDefault="005936E6" w:rsidP="005D3580">
            <w:pPr>
              <w:rPr>
                <w:sz w:val="18"/>
                <w:szCs w:val="18"/>
              </w:rPr>
            </w:pPr>
            <w:r w:rsidRPr="00F5127A">
              <w:rPr>
                <w:sz w:val="18"/>
                <w:szCs w:val="18"/>
              </w:rPr>
              <w:t xml:space="preserve">Seuil minimal de contribution de l’UE </w:t>
            </w:r>
          </w:p>
          <w:p w14:paraId="108AC717" w14:textId="77777777" w:rsidR="005936E6" w:rsidRPr="00F5127A" w:rsidRDefault="005936E6" w:rsidP="005D3580">
            <w:pPr>
              <w:rPr>
                <w:sz w:val="18"/>
                <w:szCs w:val="18"/>
              </w:rPr>
            </w:pPr>
          </w:p>
        </w:tc>
        <w:tc>
          <w:tcPr>
            <w:tcW w:w="1320" w:type="dxa"/>
            <w:vAlign w:val="center"/>
          </w:tcPr>
          <w:p w14:paraId="549A68E5" w14:textId="2E4380B4" w:rsidR="005936E6" w:rsidRPr="00F5127A" w:rsidRDefault="005936E6" w:rsidP="00993CBD">
            <w:pPr>
              <w:ind w:right="-108"/>
              <w:jc w:val="both"/>
              <w:rPr>
                <w:sz w:val="18"/>
                <w:szCs w:val="18"/>
              </w:rPr>
            </w:pPr>
            <w:r>
              <w:rPr>
                <w:sz w:val="18"/>
                <w:szCs w:val="18"/>
              </w:rPr>
              <w:t>€ 170.000</w:t>
            </w:r>
          </w:p>
        </w:tc>
        <w:tc>
          <w:tcPr>
            <w:tcW w:w="1280" w:type="dxa"/>
            <w:vAlign w:val="center"/>
          </w:tcPr>
          <w:p w14:paraId="3704824A" w14:textId="24DECD31" w:rsidR="005936E6" w:rsidRPr="00F5127A" w:rsidRDefault="005936E6" w:rsidP="005D3580">
            <w:pPr>
              <w:rPr>
                <w:sz w:val="18"/>
                <w:szCs w:val="18"/>
              </w:rPr>
            </w:pPr>
            <w:r w:rsidRPr="00F5127A">
              <w:rPr>
                <w:sz w:val="18"/>
                <w:szCs w:val="18"/>
              </w:rPr>
              <w:t>€ 800.000</w:t>
            </w:r>
          </w:p>
        </w:tc>
        <w:tc>
          <w:tcPr>
            <w:tcW w:w="1219" w:type="dxa"/>
            <w:vAlign w:val="center"/>
          </w:tcPr>
          <w:p w14:paraId="349D8279" w14:textId="40579829" w:rsidR="005936E6" w:rsidRPr="00F5127A" w:rsidRDefault="005936E6" w:rsidP="005D3580">
            <w:pPr>
              <w:rPr>
                <w:sz w:val="18"/>
                <w:szCs w:val="18"/>
              </w:rPr>
            </w:pPr>
            <w:r w:rsidRPr="00F5127A">
              <w:rPr>
                <w:sz w:val="18"/>
                <w:szCs w:val="18"/>
              </w:rPr>
              <w:t>€800.000</w:t>
            </w:r>
          </w:p>
        </w:tc>
        <w:tc>
          <w:tcPr>
            <w:tcW w:w="1134" w:type="dxa"/>
            <w:vAlign w:val="center"/>
          </w:tcPr>
          <w:p w14:paraId="059FC5A4" w14:textId="0E05C946" w:rsidR="005936E6" w:rsidRPr="00F5127A" w:rsidRDefault="005936E6" w:rsidP="005D3580">
            <w:pPr>
              <w:rPr>
                <w:sz w:val="18"/>
                <w:szCs w:val="18"/>
              </w:rPr>
            </w:pPr>
            <w:r w:rsidRPr="00F5127A">
              <w:rPr>
                <w:sz w:val="18"/>
                <w:szCs w:val="18"/>
              </w:rPr>
              <w:t>€800.000</w:t>
            </w:r>
          </w:p>
        </w:tc>
        <w:tc>
          <w:tcPr>
            <w:tcW w:w="1276" w:type="dxa"/>
            <w:vAlign w:val="center"/>
          </w:tcPr>
          <w:p w14:paraId="2084B852" w14:textId="01656585" w:rsidR="005936E6" w:rsidRPr="00F5127A" w:rsidRDefault="005936E6" w:rsidP="005D3580">
            <w:pPr>
              <w:rPr>
                <w:sz w:val="18"/>
                <w:szCs w:val="18"/>
              </w:rPr>
            </w:pPr>
            <w:r w:rsidRPr="00F5127A">
              <w:rPr>
                <w:sz w:val="18"/>
                <w:szCs w:val="18"/>
              </w:rPr>
              <w:t>€800.000</w:t>
            </w:r>
          </w:p>
        </w:tc>
      </w:tr>
      <w:tr w:rsidR="005936E6" w:rsidRPr="00F5127A" w14:paraId="373BFF74" w14:textId="1E9FEB25" w:rsidTr="00E641E8">
        <w:tc>
          <w:tcPr>
            <w:tcW w:w="1392" w:type="dxa"/>
            <w:vAlign w:val="center"/>
          </w:tcPr>
          <w:p w14:paraId="59DE2491" w14:textId="77777777" w:rsidR="005936E6" w:rsidRPr="00F5127A" w:rsidRDefault="005936E6" w:rsidP="005D3580">
            <w:pPr>
              <w:rPr>
                <w:sz w:val="18"/>
                <w:szCs w:val="18"/>
              </w:rPr>
            </w:pPr>
            <w:r w:rsidRPr="00F5127A">
              <w:rPr>
                <w:sz w:val="18"/>
                <w:szCs w:val="18"/>
              </w:rPr>
              <w:t xml:space="preserve">Seuil maximal de contribution de l’UE </w:t>
            </w:r>
          </w:p>
          <w:p w14:paraId="3A2DBB66" w14:textId="77777777" w:rsidR="005936E6" w:rsidRPr="00F5127A" w:rsidRDefault="005936E6" w:rsidP="005D3580">
            <w:pPr>
              <w:rPr>
                <w:sz w:val="18"/>
                <w:szCs w:val="18"/>
              </w:rPr>
            </w:pPr>
          </w:p>
        </w:tc>
        <w:tc>
          <w:tcPr>
            <w:tcW w:w="1320" w:type="dxa"/>
            <w:vAlign w:val="center"/>
          </w:tcPr>
          <w:p w14:paraId="7F26309E" w14:textId="06EF37AF" w:rsidR="005936E6" w:rsidRPr="00F5127A" w:rsidRDefault="005936E6" w:rsidP="00993CBD">
            <w:pPr>
              <w:ind w:right="-198"/>
              <w:jc w:val="both"/>
              <w:rPr>
                <w:sz w:val="18"/>
                <w:szCs w:val="18"/>
              </w:rPr>
            </w:pPr>
            <w:r w:rsidRPr="00F5127A">
              <w:rPr>
                <w:sz w:val="18"/>
                <w:szCs w:val="18"/>
              </w:rPr>
              <w:t>€ 200.000</w:t>
            </w:r>
          </w:p>
        </w:tc>
        <w:tc>
          <w:tcPr>
            <w:tcW w:w="1280" w:type="dxa"/>
            <w:vAlign w:val="center"/>
          </w:tcPr>
          <w:p w14:paraId="077B010A" w14:textId="4F158048" w:rsidR="005936E6" w:rsidRPr="00F5127A" w:rsidRDefault="005936E6" w:rsidP="005D3580">
            <w:pPr>
              <w:rPr>
                <w:sz w:val="18"/>
                <w:szCs w:val="18"/>
              </w:rPr>
            </w:pPr>
            <w:r w:rsidRPr="00F5127A">
              <w:rPr>
                <w:sz w:val="18"/>
                <w:szCs w:val="18"/>
              </w:rPr>
              <w:t>€ 1.200.000</w:t>
            </w:r>
          </w:p>
        </w:tc>
        <w:tc>
          <w:tcPr>
            <w:tcW w:w="1219" w:type="dxa"/>
            <w:vAlign w:val="center"/>
          </w:tcPr>
          <w:p w14:paraId="219F0F76" w14:textId="7B752FB0" w:rsidR="005936E6" w:rsidRPr="00F5127A" w:rsidRDefault="005936E6" w:rsidP="005936E6">
            <w:pPr>
              <w:ind w:right="-98"/>
              <w:rPr>
                <w:sz w:val="18"/>
                <w:szCs w:val="18"/>
              </w:rPr>
            </w:pPr>
            <w:r w:rsidRPr="00F5127A">
              <w:rPr>
                <w:sz w:val="18"/>
                <w:szCs w:val="18"/>
              </w:rPr>
              <w:t>€ 1.000.000</w:t>
            </w:r>
          </w:p>
        </w:tc>
        <w:tc>
          <w:tcPr>
            <w:tcW w:w="1134" w:type="dxa"/>
            <w:vAlign w:val="center"/>
          </w:tcPr>
          <w:p w14:paraId="78A39946" w14:textId="0F073BC1" w:rsidR="005936E6" w:rsidRPr="00F5127A" w:rsidRDefault="005936E6" w:rsidP="005D3580">
            <w:pPr>
              <w:rPr>
                <w:sz w:val="18"/>
                <w:szCs w:val="18"/>
              </w:rPr>
            </w:pPr>
            <w:r w:rsidRPr="00F5127A">
              <w:rPr>
                <w:sz w:val="18"/>
                <w:szCs w:val="18"/>
              </w:rPr>
              <w:t>€ 1.000.000</w:t>
            </w:r>
          </w:p>
        </w:tc>
        <w:tc>
          <w:tcPr>
            <w:tcW w:w="1276" w:type="dxa"/>
            <w:vAlign w:val="center"/>
          </w:tcPr>
          <w:p w14:paraId="780CBD9C" w14:textId="29F43DE4" w:rsidR="005936E6" w:rsidRPr="00F5127A" w:rsidRDefault="005936E6" w:rsidP="005D3580">
            <w:pPr>
              <w:rPr>
                <w:sz w:val="18"/>
                <w:szCs w:val="18"/>
              </w:rPr>
            </w:pPr>
            <w:r w:rsidRPr="00F5127A">
              <w:rPr>
                <w:sz w:val="18"/>
                <w:szCs w:val="18"/>
              </w:rPr>
              <w:t>€ 1.000.000</w:t>
            </w:r>
          </w:p>
        </w:tc>
      </w:tr>
      <w:tr w:rsidR="005936E6" w:rsidRPr="00F5127A" w14:paraId="59A4956E" w14:textId="1BD2FB57" w:rsidTr="00E641E8">
        <w:tc>
          <w:tcPr>
            <w:tcW w:w="1392" w:type="dxa"/>
            <w:vAlign w:val="center"/>
          </w:tcPr>
          <w:p w14:paraId="13C3C3B5" w14:textId="77777777" w:rsidR="005936E6" w:rsidRPr="00F5127A" w:rsidRDefault="005936E6" w:rsidP="005D3580">
            <w:pPr>
              <w:rPr>
                <w:sz w:val="18"/>
                <w:szCs w:val="18"/>
              </w:rPr>
            </w:pPr>
            <w:r w:rsidRPr="00F5127A">
              <w:rPr>
                <w:sz w:val="18"/>
                <w:szCs w:val="18"/>
              </w:rPr>
              <w:t xml:space="preserve">Nombre minimal de partenaires par pays </w:t>
            </w:r>
          </w:p>
          <w:p w14:paraId="5837C3EE" w14:textId="77777777" w:rsidR="005936E6" w:rsidRPr="00F5127A" w:rsidRDefault="005936E6" w:rsidP="005D3580">
            <w:pPr>
              <w:rPr>
                <w:sz w:val="18"/>
                <w:szCs w:val="18"/>
              </w:rPr>
            </w:pPr>
          </w:p>
        </w:tc>
        <w:tc>
          <w:tcPr>
            <w:tcW w:w="1320" w:type="dxa"/>
            <w:vAlign w:val="center"/>
          </w:tcPr>
          <w:p w14:paraId="40960300" w14:textId="60EFDEF0" w:rsidR="005936E6" w:rsidRPr="00F5127A" w:rsidRDefault="005936E6" w:rsidP="00993CBD">
            <w:pPr>
              <w:ind w:right="511"/>
              <w:jc w:val="both"/>
              <w:rPr>
                <w:sz w:val="18"/>
                <w:szCs w:val="18"/>
              </w:rPr>
            </w:pPr>
            <w:r>
              <w:rPr>
                <w:sz w:val="18"/>
                <w:szCs w:val="18"/>
              </w:rPr>
              <w:t>1</w:t>
            </w:r>
          </w:p>
        </w:tc>
        <w:tc>
          <w:tcPr>
            <w:tcW w:w="1280" w:type="dxa"/>
            <w:vAlign w:val="center"/>
          </w:tcPr>
          <w:p w14:paraId="6E645EBF" w14:textId="6E708761" w:rsidR="005936E6" w:rsidRPr="00F5127A" w:rsidRDefault="005936E6" w:rsidP="005D3580">
            <w:pPr>
              <w:rPr>
                <w:sz w:val="18"/>
                <w:szCs w:val="18"/>
              </w:rPr>
            </w:pPr>
            <w:r w:rsidRPr="00F5127A">
              <w:rPr>
                <w:sz w:val="18"/>
                <w:szCs w:val="18"/>
              </w:rPr>
              <w:t>1</w:t>
            </w:r>
          </w:p>
        </w:tc>
        <w:tc>
          <w:tcPr>
            <w:tcW w:w="1219" w:type="dxa"/>
            <w:vAlign w:val="center"/>
          </w:tcPr>
          <w:p w14:paraId="7F2945AB" w14:textId="59B36820" w:rsidR="005936E6" w:rsidRPr="00F5127A" w:rsidRDefault="005936E6" w:rsidP="005D3580">
            <w:pPr>
              <w:rPr>
                <w:sz w:val="18"/>
                <w:szCs w:val="18"/>
              </w:rPr>
            </w:pPr>
            <w:r w:rsidRPr="00F5127A">
              <w:rPr>
                <w:sz w:val="18"/>
                <w:szCs w:val="18"/>
              </w:rPr>
              <w:t>1</w:t>
            </w:r>
          </w:p>
        </w:tc>
        <w:tc>
          <w:tcPr>
            <w:tcW w:w="1134" w:type="dxa"/>
            <w:vAlign w:val="center"/>
          </w:tcPr>
          <w:p w14:paraId="0A221C4E" w14:textId="528B1A56" w:rsidR="005936E6" w:rsidRPr="00F5127A" w:rsidRDefault="005936E6" w:rsidP="005D3580">
            <w:pPr>
              <w:rPr>
                <w:sz w:val="18"/>
                <w:szCs w:val="18"/>
              </w:rPr>
            </w:pPr>
            <w:r w:rsidRPr="00F5127A">
              <w:rPr>
                <w:sz w:val="18"/>
                <w:szCs w:val="18"/>
              </w:rPr>
              <w:t>1</w:t>
            </w:r>
          </w:p>
        </w:tc>
        <w:tc>
          <w:tcPr>
            <w:tcW w:w="1276" w:type="dxa"/>
            <w:vAlign w:val="center"/>
          </w:tcPr>
          <w:p w14:paraId="08010137" w14:textId="2CCF9164" w:rsidR="005936E6" w:rsidRPr="00F5127A" w:rsidRDefault="005936E6" w:rsidP="005D3580">
            <w:pPr>
              <w:rPr>
                <w:sz w:val="18"/>
                <w:szCs w:val="18"/>
              </w:rPr>
            </w:pPr>
            <w:r w:rsidRPr="00F5127A">
              <w:rPr>
                <w:sz w:val="18"/>
                <w:szCs w:val="18"/>
              </w:rPr>
              <w:t>1</w:t>
            </w:r>
          </w:p>
        </w:tc>
      </w:tr>
      <w:tr w:rsidR="005936E6" w:rsidRPr="00F5127A" w14:paraId="27E25F25" w14:textId="29984ED5" w:rsidTr="00E641E8">
        <w:tc>
          <w:tcPr>
            <w:tcW w:w="1392" w:type="dxa"/>
            <w:vAlign w:val="center"/>
          </w:tcPr>
          <w:p w14:paraId="1A05868A" w14:textId="6DCFF0E8" w:rsidR="005936E6" w:rsidRPr="00F5127A" w:rsidRDefault="005936E6" w:rsidP="005D3580">
            <w:pPr>
              <w:rPr>
                <w:sz w:val="18"/>
                <w:szCs w:val="18"/>
              </w:rPr>
            </w:pPr>
            <w:r w:rsidRPr="00F5127A">
              <w:rPr>
                <w:sz w:val="18"/>
                <w:szCs w:val="18"/>
              </w:rPr>
              <w:t xml:space="preserve">Nombre maximal de partenaires par projet </w:t>
            </w:r>
          </w:p>
          <w:p w14:paraId="61070CFC" w14:textId="77777777" w:rsidR="005936E6" w:rsidRPr="00F5127A" w:rsidRDefault="005936E6" w:rsidP="005D3580">
            <w:pPr>
              <w:rPr>
                <w:sz w:val="18"/>
                <w:szCs w:val="18"/>
              </w:rPr>
            </w:pPr>
          </w:p>
        </w:tc>
        <w:tc>
          <w:tcPr>
            <w:tcW w:w="1320" w:type="dxa"/>
            <w:vAlign w:val="center"/>
          </w:tcPr>
          <w:p w14:paraId="07A055B7" w14:textId="105E7578" w:rsidR="005936E6" w:rsidRPr="00F5127A" w:rsidRDefault="005936E6" w:rsidP="00993CBD">
            <w:pPr>
              <w:ind w:right="511"/>
              <w:jc w:val="both"/>
              <w:rPr>
                <w:sz w:val="18"/>
                <w:szCs w:val="18"/>
              </w:rPr>
            </w:pPr>
            <w:r>
              <w:rPr>
                <w:sz w:val="18"/>
                <w:szCs w:val="18"/>
              </w:rPr>
              <w:t>2</w:t>
            </w:r>
          </w:p>
        </w:tc>
        <w:tc>
          <w:tcPr>
            <w:tcW w:w="1280" w:type="dxa"/>
            <w:vAlign w:val="center"/>
          </w:tcPr>
          <w:p w14:paraId="668A09DE" w14:textId="0E231D3F" w:rsidR="005936E6" w:rsidRPr="00F5127A" w:rsidRDefault="005936E6" w:rsidP="005D3580">
            <w:pPr>
              <w:rPr>
                <w:sz w:val="18"/>
                <w:szCs w:val="18"/>
              </w:rPr>
            </w:pPr>
            <w:r w:rsidRPr="00F5127A">
              <w:rPr>
                <w:sz w:val="18"/>
                <w:szCs w:val="18"/>
              </w:rPr>
              <w:t>3</w:t>
            </w:r>
          </w:p>
        </w:tc>
        <w:tc>
          <w:tcPr>
            <w:tcW w:w="1219" w:type="dxa"/>
            <w:vAlign w:val="center"/>
          </w:tcPr>
          <w:p w14:paraId="7DD2138D" w14:textId="52AE70C3" w:rsidR="005936E6" w:rsidRPr="00F5127A" w:rsidRDefault="005936E6" w:rsidP="005D3580">
            <w:pPr>
              <w:rPr>
                <w:sz w:val="18"/>
                <w:szCs w:val="18"/>
              </w:rPr>
            </w:pPr>
            <w:r w:rsidRPr="00F5127A">
              <w:rPr>
                <w:sz w:val="18"/>
                <w:szCs w:val="18"/>
              </w:rPr>
              <w:t>3</w:t>
            </w:r>
          </w:p>
        </w:tc>
        <w:tc>
          <w:tcPr>
            <w:tcW w:w="1134" w:type="dxa"/>
            <w:vAlign w:val="center"/>
          </w:tcPr>
          <w:p w14:paraId="79A7728C" w14:textId="19415EF9" w:rsidR="005936E6" w:rsidRPr="00F5127A" w:rsidRDefault="005936E6" w:rsidP="005D3580">
            <w:pPr>
              <w:rPr>
                <w:sz w:val="18"/>
                <w:szCs w:val="18"/>
              </w:rPr>
            </w:pPr>
            <w:r w:rsidRPr="00F5127A">
              <w:rPr>
                <w:sz w:val="18"/>
                <w:szCs w:val="18"/>
              </w:rPr>
              <w:t>3</w:t>
            </w:r>
          </w:p>
        </w:tc>
        <w:tc>
          <w:tcPr>
            <w:tcW w:w="1276" w:type="dxa"/>
            <w:vAlign w:val="center"/>
          </w:tcPr>
          <w:p w14:paraId="53150F87" w14:textId="32098724" w:rsidR="005936E6" w:rsidRPr="00F5127A" w:rsidRDefault="005936E6" w:rsidP="005D3580">
            <w:pPr>
              <w:rPr>
                <w:sz w:val="18"/>
                <w:szCs w:val="18"/>
              </w:rPr>
            </w:pPr>
            <w:r w:rsidRPr="00F5127A">
              <w:rPr>
                <w:sz w:val="18"/>
                <w:szCs w:val="18"/>
              </w:rPr>
              <w:t>3</w:t>
            </w:r>
          </w:p>
        </w:tc>
      </w:tr>
      <w:tr w:rsidR="005936E6" w:rsidRPr="00F5127A" w14:paraId="757F7F13" w14:textId="6A019930" w:rsidTr="00E641E8">
        <w:tc>
          <w:tcPr>
            <w:tcW w:w="1392" w:type="dxa"/>
            <w:vAlign w:val="center"/>
          </w:tcPr>
          <w:p w14:paraId="3268D2B4" w14:textId="52306FA9" w:rsidR="005936E6" w:rsidRPr="00F5127A" w:rsidRDefault="005936E6" w:rsidP="005D3580">
            <w:pPr>
              <w:rPr>
                <w:sz w:val="18"/>
                <w:szCs w:val="18"/>
              </w:rPr>
            </w:pPr>
            <w:r w:rsidRPr="00F5127A">
              <w:rPr>
                <w:sz w:val="18"/>
                <w:szCs w:val="18"/>
              </w:rPr>
              <w:t>Durée (mois)</w:t>
            </w:r>
          </w:p>
        </w:tc>
        <w:tc>
          <w:tcPr>
            <w:tcW w:w="1320" w:type="dxa"/>
            <w:vAlign w:val="center"/>
          </w:tcPr>
          <w:p w14:paraId="351C3C01" w14:textId="08FA6DFB" w:rsidR="005936E6" w:rsidRPr="00F5127A" w:rsidRDefault="005936E6" w:rsidP="00993CBD">
            <w:pPr>
              <w:ind w:right="511"/>
              <w:jc w:val="both"/>
              <w:rPr>
                <w:sz w:val="18"/>
                <w:szCs w:val="18"/>
              </w:rPr>
            </w:pPr>
            <w:r>
              <w:rPr>
                <w:sz w:val="18"/>
                <w:szCs w:val="18"/>
              </w:rPr>
              <w:t>12</w:t>
            </w:r>
          </w:p>
        </w:tc>
        <w:tc>
          <w:tcPr>
            <w:tcW w:w="1280" w:type="dxa"/>
            <w:vAlign w:val="center"/>
          </w:tcPr>
          <w:p w14:paraId="7A680912" w14:textId="648F996C" w:rsidR="005936E6" w:rsidRPr="00F5127A" w:rsidRDefault="005936E6" w:rsidP="00287A7B">
            <w:pPr>
              <w:rPr>
                <w:sz w:val="18"/>
                <w:szCs w:val="18"/>
              </w:rPr>
            </w:pPr>
            <w:r w:rsidRPr="00F5127A">
              <w:rPr>
                <w:sz w:val="18"/>
                <w:szCs w:val="18"/>
              </w:rPr>
              <w:t xml:space="preserve">24-36 </w:t>
            </w:r>
          </w:p>
        </w:tc>
        <w:tc>
          <w:tcPr>
            <w:tcW w:w="1219" w:type="dxa"/>
            <w:vAlign w:val="center"/>
          </w:tcPr>
          <w:p w14:paraId="169A8CC3" w14:textId="21C6AA2F" w:rsidR="005936E6" w:rsidRPr="00F5127A" w:rsidRDefault="005936E6" w:rsidP="005D3580">
            <w:pPr>
              <w:rPr>
                <w:sz w:val="18"/>
                <w:szCs w:val="18"/>
              </w:rPr>
            </w:pPr>
            <w:r w:rsidRPr="00F5127A">
              <w:rPr>
                <w:sz w:val="18"/>
                <w:szCs w:val="18"/>
              </w:rPr>
              <w:t>16-18</w:t>
            </w:r>
          </w:p>
        </w:tc>
        <w:tc>
          <w:tcPr>
            <w:tcW w:w="1134" w:type="dxa"/>
            <w:vAlign w:val="center"/>
          </w:tcPr>
          <w:p w14:paraId="652FCAAF" w14:textId="680A9B5B" w:rsidR="005936E6" w:rsidRPr="00F5127A" w:rsidRDefault="005936E6" w:rsidP="005D3580">
            <w:pPr>
              <w:rPr>
                <w:sz w:val="18"/>
                <w:szCs w:val="18"/>
              </w:rPr>
            </w:pPr>
            <w:r w:rsidRPr="00F5127A">
              <w:rPr>
                <w:sz w:val="18"/>
                <w:szCs w:val="18"/>
              </w:rPr>
              <w:t>18-24</w:t>
            </w:r>
          </w:p>
        </w:tc>
        <w:tc>
          <w:tcPr>
            <w:tcW w:w="1276" w:type="dxa"/>
            <w:vAlign w:val="center"/>
          </w:tcPr>
          <w:p w14:paraId="5A5EBCE6" w14:textId="2DCC34D8" w:rsidR="005936E6" w:rsidRPr="00F5127A" w:rsidRDefault="005936E6" w:rsidP="005D3580">
            <w:pPr>
              <w:rPr>
                <w:sz w:val="18"/>
                <w:szCs w:val="18"/>
              </w:rPr>
            </w:pPr>
            <w:r w:rsidRPr="00F5127A">
              <w:rPr>
                <w:sz w:val="18"/>
                <w:szCs w:val="18"/>
              </w:rPr>
              <w:t>16-18</w:t>
            </w:r>
          </w:p>
        </w:tc>
      </w:tr>
    </w:tbl>
    <w:p w14:paraId="35B0D0B8" w14:textId="77777777" w:rsidR="00936493" w:rsidRDefault="00936493" w:rsidP="00ED5670">
      <w:pPr>
        <w:jc w:val="both"/>
        <w:rPr>
          <w:rFonts w:ascii="Calibri" w:eastAsia="Times New Roman" w:hAnsi="Calibri" w:cs="Times New Roman"/>
          <w:bCs/>
          <w:sz w:val="24"/>
          <w:lang w:val="it-IT"/>
        </w:rPr>
      </w:pPr>
    </w:p>
    <w:p w14:paraId="5B43E289" w14:textId="77777777" w:rsidR="00936493" w:rsidRDefault="00936493" w:rsidP="00ED5670">
      <w:pPr>
        <w:jc w:val="both"/>
        <w:rPr>
          <w:rFonts w:ascii="Calibri" w:eastAsia="Times New Roman" w:hAnsi="Calibri" w:cs="Times New Roman"/>
          <w:bCs/>
          <w:sz w:val="24"/>
          <w:lang w:val="it-IT"/>
        </w:rPr>
      </w:pPr>
    </w:p>
    <w:p w14:paraId="0B4ABEA4" w14:textId="77777777" w:rsidR="00936493" w:rsidRDefault="00936493" w:rsidP="00ED5670">
      <w:pPr>
        <w:jc w:val="both"/>
        <w:rPr>
          <w:rFonts w:ascii="Calibri" w:eastAsia="Times New Roman" w:hAnsi="Calibri" w:cs="Times New Roman"/>
          <w:bCs/>
          <w:sz w:val="24"/>
          <w:lang w:val="it-IT"/>
        </w:rPr>
      </w:pPr>
    </w:p>
    <w:p w14:paraId="4D442D54" w14:textId="77777777" w:rsidR="00936493" w:rsidRPr="00137C90" w:rsidRDefault="00936493" w:rsidP="00ED5670">
      <w:pPr>
        <w:jc w:val="both"/>
        <w:rPr>
          <w:rFonts w:ascii="Calibri" w:eastAsia="Times New Roman" w:hAnsi="Calibri" w:cs="Times New Roman"/>
          <w:bCs/>
          <w:color w:val="FFFFFF" w:themeColor="background1"/>
          <w:sz w:val="24"/>
          <w:lang w:val="it-IT"/>
        </w:rPr>
      </w:pPr>
    </w:p>
    <w:p w14:paraId="3AA6A4CC" w14:textId="77777777" w:rsidR="00E33465" w:rsidRDefault="00E33465" w:rsidP="007062BA"/>
    <w:p w14:paraId="260D033F" w14:textId="77777777" w:rsidR="00E33465" w:rsidRDefault="00E33465" w:rsidP="007062BA"/>
    <w:p w14:paraId="5C425942" w14:textId="77777777" w:rsidR="00E33465" w:rsidRDefault="00E33465" w:rsidP="007062BA"/>
    <w:p w14:paraId="3F18DCDA" w14:textId="77777777" w:rsidR="00E33465" w:rsidRDefault="00E33465" w:rsidP="007062BA"/>
    <w:p w14:paraId="37DD7DC6" w14:textId="77777777" w:rsidR="00E33465" w:rsidRDefault="00E33465" w:rsidP="007062BA"/>
    <w:p w14:paraId="46B1095C" w14:textId="15EF63A1" w:rsidR="00E33465" w:rsidRDefault="00E33465" w:rsidP="00E33465">
      <w:pPr>
        <w:jc w:val="both"/>
        <w:rPr>
          <w:sz w:val="18"/>
          <w:szCs w:val="18"/>
        </w:rPr>
      </w:pPr>
      <w:r w:rsidRPr="00F07A9B">
        <w:rPr>
          <w:sz w:val="18"/>
          <w:szCs w:val="18"/>
        </w:rPr>
        <w:t xml:space="preserve">CRONOPROGRAMME INDICATIF DES APPELS </w:t>
      </w:r>
    </w:p>
    <w:p w14:paraId="250499B8" w14:textId="77777777" w:rsidR="00E33465" w:rsidRDefault="00E33465" w:rsidP="00E33465">
      <w:pPr>
        <w:jc w:val="both"/>
        <w:rPr>
          <w:sz w:val="18"/>
          <w:szCs w:val="18"/>
        </w:rPr>
      </w:pPr>
    </w:p>
    <w:tbl>
      <w:tblPr>
        <w:tblW w:w="0" w:type="auto"/>
        <w:tblInd w:w="55" w:type="dxa"/>
        <w:tblLayout w:type="fixed"/>
        <w:tblCellMar>
          <w:left w:w="70" w:type="dxa"/>
          <w:right w:w="70" w:type="dxa"/>
        </w:tblCellMar>
        <w:tblLook w:val="04A0" w:firstRow="1" w:lastRow="0" w:firstColumn="1" w:lastColumn="0" w:noHBand="0" w:noVBand="1"/>
      </w:tblPr>
      <w:tblGrid>
        <w:gridCol w:w="4350"/>
        <w:gridCol w:w="276"/>
        <w:gridCol w:w="276"/>
        <w:gridCol w:w="276"/>
        <w:gridCol w:w="276"/>
        <w:gridCol w:w="276"/>
        <w:gridCol w:w="276"/>
        <w:gridCol w:w="276"/>
        <w:gridCol w:w="276"/>
        <w:gridCol w:w="276"/>
        <w:gridCol w:w="269"/>
        <w:gridCol w:w="283"/>
        <w:gridCol w:w="276"/>
        <w:gridCol w:w="276"/>
        <w:gridCol w:w="276"/>
      </w:tblGrid>
      <w:tr w:rsidR="00E33465" w:rsidRPr="009938F2" w14:paraId="5A91E1FA" w14:textId="77777777" w:rsidTr="00E33465">
        <w:trPr>
          <w:trHeight w:val="320"/>
        </w:trPr>
        <w:tc>
          <w:tcPr>
            <w:tcW w:w="4350" w:type="dxa"/>
            <w:tcBorders>
              <w:top w:val="single" w:sz="8" w:space="0" w:color="auto"/>
              <w:left w:val="single" w:sz="8" w:space="0" w:color="auto"/>
              <w:bottom w:val="single" w:sz="8" w:space="0" w:color="auto"/>
              <w:right w:val="single" w:sz="8" w:space="0" w:color="auto"/>
            </w:tcBorders>
            <w:shd w:val="clear" w:color="000000" w:fill="4F81BD"/>
            <w:vAlign w:val="center"/>
            <w:hideMark/>
          </w:tcPr>
          <w:p w14:paraId="126A2B0A" w14:textId="77777777" w:rsidR="00E33465" w:rsidRPr="009938F2" w:rsidRDefault="00E33465" w:rsidP="00E33465">
            <w:pPr>
              <w:jc w:val="both"/>
              <w:rPr>
                <w:rFonts w:ascii="Calibri" w:eastAsia="Times New Roman" w:hAnsi="Calibri" w:cs="Times New Roman"/>
                <w:i/>
                <w:iCs/>
                <w:color w:val="FFFFFF"/>
                <w:sz w:val="18"/>
                <w:szCs w:val="18"/>
                <w:lang w:val="it-IT"/>
              </w:rPr>
            </w:pPr>
            <w:proofErr w:type="spellStart"/>
            <w:r w:rsidRPr="009938F2">
              <w:rPr>
                <w:rFonts w:ascii="Calibri" w:eastAsia="Times New Roman" w:hAnsi="Calibri" w:cs="Times New Roman"/>
                <w:i/>
                <w:iCs/>
                <w:color w:val="FFFFFF"/>
                <w:sz w:val="18"/>
                <w:szCs w:val="18"/>
                <w:lang w:val="it-IT"/>
              </w:rPr>
              <w:t>Année</w:t>
            </w:r>
            <w:proofErr w:type="spellEnd"/>
            <w:r w:rsidRPr="009938F2">
              <w:rPr>
                <w:rFonts w:ascii="Calibri" w:eastAsia="Times New Roman" w:hAnsi="Calibri" w:cs="Times New Roman"/>
                <w:i/>
                <w:iCs/>
                <w:color w:val="FFFFFF"/>
                <w:sz w:val="18"/>
                <w:szCs w:val="18"/>
                <w:lang w:val="it-IT"/>
              </w:rPr>
              <w:t xml:space="preserve"> </w:t>
            </w:r>
          </w:p>
        </w:tc>
        <w:tc>
          <w:tcPr>
            <w:tcW w:w="552" w:type="dxa"/>
            <w:gridSpan w:val="2"/>
            <w:tcBorders>
              <w:top w:val="single" w:sz="8" w:space="0" w:color="auto"/>
              <w:left w:val="nil"/>
              <w:bottom w:val="single" w:sz="8" w:space="0" w:color="auto"/>
              <w:right w:val="single" w:sz="8" w:space="0" w:color="000000"/>
            </w:tcBorders>
            <w:shd w:val="clear" w:color="000000" w:fill="4F81BD"/>
            <w:vAlign w:val="center"/>
            <w:hideMark/>
          </w:tcPr>
          <w:p w14:paraId="0E01CDB1" w14:textId="77777777" w:rsidR="00E33465" w:rsidRPr="009938F2" w:rsidRDefault="00E33465" w:rsidP="00E33465">
            <w:pPr>
              <w:jc w:val="center"/>
              <w:rPr>
                <w:rFonts w:ascii="Calibri" w:eastAsia="Times New Roman" w:hAnsi="Calibri" w:cs="Times New Roman"/>
                <w:color w:val="FFFFFF"/>
                <w:sz w:val="16"/>
                <w:szCs w:val="16"/>
                <w:lang w:val="it-IT"/>
              </w:rPr>
            </w:pPr>
            <w:r w:rsidRPr="009938F2">
              <w:rPr>
                <w:rFonts w:ascii="Calibri" w:eastAsia="Times New Roman" w:hAnsi="Calibri" w:cs="Times New Roman"/>
                <w:color w:val="FFFFFF"/>
                <w:sz w:val="16"/>
                <w:szCs w:val="16"/>
                <w:lang w:val="it-IT"/>
              </w:rPr>
              <w:t>2022</w:t>
            </w:r>
          </w:p>
        </w:tc>
        <w:tc>
          <w:tcPr>
            <w:tcW w:w="552" w:type="dxa"/>
            <w:gridSpan w:val="2"/>
            <w:tcBorders>
              <w:top w:val="single" w:sz="8" w:space="0" w:color="auto"/>
              <w:left w:val="nil"/>
              <w:bottom w:val="single" w:sz="8" w:space="0" w:color="auto"/>
              <w:right w:val="single" w:sz="8" w:space="0" w:color="000000"/>
            </w:tcBorders>
            <w:shd w:val="clear" w:color="000000" w:fill="4F81BD"/>
            <w:vAlign w:val="center"/>
            <w:hideMark/>
          </w:tcPr>
          <w:p w14:paraId="763CB579" w14:textId="77777777" w:rsidR="00E33465" w:rsidRPr="009938F2" w:rsidRDefault="00E33465" w:rsidP="00E33465">
            <w:pPr>
              <w:jc w:val="both"/>
              <w:rPr>
                <w:rFonts w:ascii="Calibri" w:eastAsia="Times New Roman" w:hAnsi="Calibri" w:cs="Times New Roman"/>
                <w:color w:val="FFFFFF"/>
                <w:sz w:val="16"/>
                <w:szCs w:val="16"/>
                <w:lang w:val="it-IT"/>
              </w:rPr>
            </w:pPr>
            <w:r w:rsidRPr="009938F2">
              <w:rPr>
                <w:rFonts w:ascii="Calibri" w:eastAsia="Times New Roman" w:hAnsi="Calibri" w:cs="Times New Roman"/>
                <w:color w:val="FFFFFF"/>
                <w:sz w:val="16"/>
                <w:szCs w:val="16"/>
                <w:lang w:val="it-IT"/>
              </w:rPr>
              <w:t>2023</w:t>
            </w:r>
          </w:p>
        </w:tc>
        <w:tc>
          <w:tcPr>
            <w:tcW w:w="552" w:type="dxa"/>
            <w:gridSpan w:val="2"/>
            <w:tcBorders>
              <w:top w:val="single" w:sz="8" w:space="0" w:color="auto"/>
              <w:left w:val="nil"/>
              <w:bottom w:val="single" w:sz="8" w:space="0" w:color="auto"/>
              <w:right w:val="single" w:sz="8" w:space="0" w:color="000000"/>
            </w:tcBorders>
            <w:shd w:val="clear" w:color="000000" w:fill="4F81BD"/>
            <w:vAlign w:val="center"/>
            <w:hideMark/>
          </w:tcPr>
          <w:p w14:paraId="120AC950" w14:textId="77777777" w:rsidR="00E33465" w:rsidRPr="009938F2" w:rsidRDefault="00E33465" w:rsidP="00E33465">
            <w:pPr>
              <w:jc w:val="both"/>
              <w:rPr>
                <w:rFonts w:ascii="Calibri" w:eastAsia="Times New Roman" w:hAnsi="Calibri" w:cs="Times New Roman"/>
                <w:color w:val="FFFFFF"/>
                <w:sz w:val="16"/>
                <w:szCs w:val="16"/>
                <w:lang w:val="it-IT"/>
              </w:rPr>
            </w:pPr>
            <w:r w:rsidRPr="009938F2">
              <w:rPr>
                <w:rFonts w:ascii="Calibri" w:eastAsia="Times New Roman" w:hAnsi="Calibri" w:cs="Times New Roman"/>
                <w:color w:val="FFFFFF"/>
                <w:sz w:val="16"/>
                <w:szCs w:val="16"/>
                <w:lang w:val="it-IT"/>
              </w:rPr>
              <w:t>2024</w:t>
            </w:r>
          </w:p>
        </w:tc>
        <w:tc>
          <w:tcPr>
            <w:tcW w:w="552" w:type="dxa"/>
            <w:gridSpan w:val="2"/>
            <w:tcBorders>
              <w:top w:val="single" w:sz="8" w:space="0" w:color="auto"/>
              <w:left w:val="nil"/>
              <w:bottom w:val="single" w:sz="8" w:space="0" w:color="auto"/>
              <w:right w:val="single" w:sz="8" w:space="0" w:color="000000"/>
            </w:tcBorders>
            <w:shd w:val="clear" w:color="000000" w:fill="4F81BD"/>
            <w:vAlign w:val="center"/>
            <w:hideMark/>
          </w:tcPr>
          <w:p w14:paraId="42D9BA55" w14:textId="77777777" w:rsidR="00E33465" w:rsidRPr="009938F2" w:rsidRDefault="00E33465" w:rsidP="00E33465">
            <w:pPr>
              <w:jc w:val="both"/>
              <w:rPr>
                <w:rFonts w:ascii="Calibri" w:eastAsia="Times New Roman" w:hAnsi="Calibri" w:cs="Times New Roman"/>
                <w:color w:val="FFFFFF"/>
                <w:sz w:val="16"/>
                <w:szCs w:val="16"/>
                <w:lang w:val="it-IT"/>
              </w:rPr>
            </w:pPr>
            <w:r w:rsidRPr="009938F2">
              <w:rPr>
                <w:rFonts w:ascii="Calibri" w:eastAsia="Times New Roman" w:hAnsi="Calibri" w:cs="Times New Roman"/>
                <w:color w:val="FFFFFF"/>
                <w:sz w:val="16"/>
                <w:szCs w:val="16"/>
                <w:lang w:val="it-IT"/>
              </w:rPr>
              <w:t>2025</w:t>
            </w:r>
          </w:p>
        </w:tc>
        <w:tc>
          <w:tcPr>
            <w:tcW w:w="545" w:type="dxa"/>
            <w:gridSpan w:val="2"/>
            <w:tcBorders>
              <w:top w:val="single" w:sz="8" w:space="0" w:color="auto"/>
              <w:left w:val="nil"/>
              <w:bottom w:val="single" w:sz="8" w:space="0" w:color="auto"/>
              <w:right w:val="single" w:sz="8" w:space="0" w:color="000000"/>
            </w:tcBorders>
            <w:shd w:val="clear" w:color="000000" w:fill="4F81BD"/>
            <w:vAlign w:val="center"/>
            <w:hideMark/>
          </w:tcPr>
          <w:p w14:paraId="35CE3887" w14:textId="77777777" w:rsidR="00E33465" w:rsidRPr="009938F2" w:rsidRDefault="00E33465" w:rsidP="00E33465">
            <w:pPr>
              <w:jc w:val="center"/>
              <w:rPr>
                <w:rFonts w:ascii="Calibri" w:eastAsia="Times New Roman" w:hAnsi="Calibri" w:cs="Times New Roman"/>
                <w:color w:val="FFFFFF"/>
                <w:sz w:val="16"/>
                <w:szCs w:val="16"/>
                <w:lang w:val="it-IT"/>
              </w:rPr>
            </w:pPr>
            <w:r w:rsidRPr="009938F2">
              <w:rPr>
                <w:rFonts w:ascii="Calibri" w:eastAsia="Times New Roman" w:hAnsi="Calibri" w:cs="Times New Roman"/>
                <w:color w:val="FFFFFF"/>
                <w:sz w:val="16"/>
                <w:szCs w:val="16"/>
                <w:lang w:val="it-IT"/>
              </w:rPr>
              <w:t>2026</w:t>
            </w:r>
          </w:p>
        </w:tc>
        <w:tc>
          <w:tcPr>
            <w:tcW w:w="559" w:type="dxa"/>
            <w:gridSpan w:val="2"/>
            <w:tcBorders>
              <w:top w:val="single" w:sz="8" w:space="0" w:color="auto"/>
              <w:left w:val="nil"/>
              <w:bottom w:val="single" w:sz="8" w:space="0" w:color="auto"/>
              <w:right w:val="single" w:sz="8" w:space="0" w:color="000000"/>
            </w:tcBorders>
            <w:shd w:val="clear" w:color="000000" w:fill="4F81BD"/>
            <w:vAlign w:val="center"/>
            <w:hideMark/>
          </w:tcPr>
          <w:p w14:paraId="435B713A" w14:textId="77777777" w:rsidR="00E33465" w:rsidRPr="009938F2" w:rsidRDefault="00E33465" w:rsidP="00E33465">
            <w:pPr>
              <w:jc w:val="both"/>
              <w:rPr>
                <w:rFonts w:ascii="Calibri" w:eastAsia="Times New Roman" w:hAnsi="Calibri" w:cs="Times New Roman"/>
                <w:color w:val="FFFFFF"/>
                <w:sz w:val="16"/>
                <w:szCs w:val="16"/>
                <w:lang w:val="it-IT"/>
              </w:rPr>
            </w:pPr>
            <w:r w:rsidRPr="009938F2">
              <w:rPr>
                <w:rFonts w:ascii="Calibri" w:eastAsia="Times New Roman" w:hAnsi="Calibri" w:cs="Times New Roman"/>
                <w:color w:val="FFFFFF"/>
                <w:sz w:val="16"/>
                <w:szCs w:val="16"/>
                <w:lang w:val="it-IT"/>
              </w:rPr>
              <w:t>2027</w:t>
            </w:r>
          </w:p>
        </w:tc>
        <w:tc>
          <w:tcPr>
            <w:tcW w:w="552" w:type="dxa"/>
            <w:gridSpan w:val="2"/>
            <w:tcBorders>
              <w:top w:val="single" w:sz="8" w:space="0" w:color="auto"/>
              <w:left w:val="nil"/>
              <w:bottom w:val="single" w:sz="8" w:space="0" w:color="auto"/>
              <w:right w:val="single" w:sz="8" w:space="0" w:color="000000"/>
            </w:tcBorders>
            <w:shd w:val="clear" w:color="000000" w:fill="4F81BD"/>
            <w:vAlign w:val="center"/>
            <w:hideMark/>
          </w:tcPr>
          <w:p w14:paraId="2613A446" w14:textId="77777777" w:rsidR="00E33465" w:rsidRPr="009938F2" w:rsidRDefault="00E33465" w:rsidP="00E33465">
            <w:pPr>
              <w:jc w:val="both"/>
              <w:rPr>
                <w:rFonts w:ascii="Calibri" w:eastAsia="Times New Roman" w:hAnsi="Calibri" w:cs="Times New Roman"/>
                <w:color w:val="FFFFFF"/>
                <w:sz w:val="16"/>
                <w:szCs w:val="16"/>
                <w:lang w:val="it-IT"/>
              </w:rPr>
            </w:pPr>
            <w:r w:rsidRPr="009938F2">
              <w:rPr>
                <w:rFonts w:ascii="Calibri" w:eastAsia="Times New Roman" w:hAnsi="Calibri" w:cs="Times New Roman"/>
                <w:color w:val="FFFFFF"/>
                <w:sz w:val="16"/>
                <w:szCs w:val="16"/>
                <w:lang w:val="it-IT"/>
              </w:rPr>
              <w:t>2028</w:t>
            </w:r>
          </w:p>
        </w:tc>
      </w:tr>
      <w:tr w:rsidR="00E33465" w:rsidRPr="009938F2" w14:paraId="49B73459" w14:textId="77777777" w:rsidTr="00F03904">
        <w:trPr>
          <w:trHeight w:val="320"/>
        </w:trPr>
        <w:tc>
          <w:tcPr>
            <w:tcW w:w="4350" w:type="dxa"/>
            <w:tcBorders>
              <w:top w:val="nil"/>
              <w:left w:val="single" w:sz="8" w:space="0" w:color="auto"/>
              <w:bottom w:val="single" w:sz="8" w:space="0" w:color="auto"/>
              <w:right w:val="single" w:sz="8" w:space="0" w:color="auto"/>
            </w:tcBorders>
            <w:shd w:val="clear" w:color="000000" w:fill="4F81BD"/>
            <w:vAlign w:val="center"/>
            <w:hideMark/>
          </w:tcPr>
          <w:p w14:paraId="299717C7" w14:textId="77777777" w:rsidR="00E33465" w:rsidRPr="009938F2" w:rsidRDefault="00E33465" w:rsidP="00E33465">
            <w:pPr>
              <w:jc w:val="both"/>
              <w:rPr>
                <w:rFonts w:ascii="Calibri" w:eastAsia="Times New Roman" w:hAnsi="Calibri" w:cs="Times New Roman"/>
                <w:i/>
                <w:iCs/>
                <w:color w:val="FFFFFF"/>
                <w:sz w:val="18"/>
                <w:szCs w:val="18"/>
                <w:lang w:val="it-IT"/>
              </w:rPr>
            </w:pPr>
            <w:r w:rsidRPr="009938F2">
              <w:rPr>
                <w:rFonts w:ascii="Calibri" w:eastAsia="Times New Roman" w:hAnsi="Calibri" w:cs="Times New Roman"/>
                <w:i/>
                <w:iCs/>
                <w:color w:val="FFFFFF"/>
                <w:sz w:val="18"/>
                <w:szCs w:val="18"/>
                <w:lang w:val="it-IT"/>
              </w:rPr>
              <w:t>Semestre</w:t>
            </w:r>
          </w:p>
        </w:tc>
        <w:tc>
          <w:tcPr>
            <w:tcW w:w="276" w:type="dxa"/>
            <w:tcBorders>
              <w:top w:val="nil"/>
              <w:left w:val="nil"/>
              <w:bottom w:val="single" w:sz="8" w:space="0" w:color="auto"/>
              <w:right w:val="single" w:sz="8" w:space="0" w:color="auto"/>
            </w:tcBorders>
            <w:shd w:val="clear" w:color="000000" w:fill="4F81BD"/>
            <w:vAlign w:val="center"/>
            <w:hideMark/>
          </w:tcPr>
          <w:p w14:paraId="2477EC9C" w14:textId="77777777" w:rsidR="00E33465" w:rsidRPr="009938F2" w:rsidRDefault="00E33465" w:rsidP="00E33465">
            <w:pPr>
              <w:jc w:val="both"/>
              <w:rPr>
                <w:rFonts w:ascii="Calibri" w:eastAsia="Times New Roman" w:hAnsi="Calibri" w:cs="Times New Roman"/>
                <w:i/>
                <w:iCs/>
                <w:color w:val="FFFFFF"/>
                <w:sz w:val="16"/>
                <w:szCs w:val="16"/>
                <w:lang w:val="it-IT"/>
              </w:rPr>
            </w:pPr>
            <w:r w:rsidRPr="009938F2">
              <w:rPr>
                <w:rFonts w:ascii="Calibri" w:eastAsia="Times New Roman" w:hAnsi="Calibri" w:cs="Times New Roman"/>
                <w:i/>
                <w:iCs/>
                <w:color w:val="FFFFFF"/>
                <w:sz w:val="16"/>
                <w:szCs w:val="16"/>
                <w:lang w:val="it-IT"/>
              </w:rPr>
              <w:t>1°</w:t>
            </w:r>
          </w:p>
        </w:tc>
        <w:tc>
          <w:tcPr>
            <w:tcW w:w="276" w:type="dxa"/>
            <w:tcBorders>
              <w:top w:val="nil"/>
              <w:left w:val="nil"/>
              <w:bottom w:val="single" w:sz="8" w:space="0" w:color="auto"/>
              <w:right w:val="single" w:sz="8" w:space="0" w:color="auto"/>
            </w:tcBorders>
            <w:shd w:val="clear" w:color="000000" w:fill="4F81BD"/>
            <w:vAlign w:val="center"/>
            <w:hideMark/>
          </w:tcPr>
          <w:p w14:paraId="27BCE2CE" w14:textId="77777777" w:rsidR="00E33465" w:rsidRPr="009938F2" w:rsidRDefault="00E33465" w:rsidP="00E33465">
            <w:pPr>
              <w:jc w:val="both"/>
              <w:rPr>
                <w:rFonts w:ascii="Calibri" w:eastAsia="Times New Roman" w:hAnsi="Calibri" w:cs="Times New Roman"/>
                <w:i/>
                <w:iCs/>
                <w:color w:val="FFFFFF"/>
                <w:sz w:val="16"/>
                <w:szCs w:val="16"/>
                <w:lang w:val="it-IT"/>
              </w:rPr>
            </w:pPr>
            <w:r w:rsidRPr="009938F2">
              <w:rPr>
                <w:rFonts w:ascii="Calibri" w:eastAsia="Times New Roman" w:hAnsi="Calibri" w:cs="Times New Roman"/>
                <w:i/>
                <w:iCs/>
                <w:color w:val="FFFFFF"/>
                <w:sz w:val="16"/>
                <w:szCs w:val="16"/>
                <w:lang w:val="it-IT"/>
              </w:rPr>
              <w:t>2°</w:t>
            </w:r>
          </w:p>
        </w:tc>
        <w:tc>
          <w:tcPr>
            <w:tcW w:w="276" w:type="dxa"/>
            <w:tcBorders>
              <w:top w:val="nil"/>
              <w:left w:val="nil"/>
              <w:bottom w:val="single" w:sz="8" w:space="0" w:color="auto"/>
              <w:right w:val="single" w:sz="8" w:space="0" w:color="auto"/>
            </w:tcBorders>
            <w:shd w:val="clear" w:color="000000" w:fill="4F81BD"/>
            <w:vAlign w:val="center"/>
            <w:hideMark/>
          </w:tcPr>
          <w:p w14:paraId="1455D347" w14:textId="77777777" w:rsidR="00E33465" w:rsidRPr="009938F2" w:rsidRDefault="00E33465" w:rsidP="00E33465">
            <w:pPr>
              <w:jc w:val="both"/>
              <w:rPr>
                <w:rFonts w:ascii="Calibri" w:eastAsia="Times New Roman" w:hAnsi="Calibri" w:cs="Times New Roman"/>
                <w:i/>
                <w:iCs/>
                <w:color w:val="FFFFFF"/>
                <w:sz w:val="16"/>
                <w:szCs w:val="16"/>
                <w:lang w:val="it-IT"/>
              </w:rPr>
            </w:pPr>
            <w:r w:rsidRPr="009938F2">
              <w:rPr>
                <w:rFonts w:ascii="Calibri" w:eastAsia="Times New Roman" w:hAnsi="Calibri" w:cs="Times New Roman"/>
                <w:i/>
                <w:iCs/>
                <w:color w:val="FFFFFF"/>
                <w:sz w:val="16"/>
                <w:szCs w:val="16"/>
                <w:lang w:val="it-IT"/>
              </w:rPr>
              <w:t>1°</w:t>
            </w:r>
          </w:p>
        </w:tc>
        <w:tc>
          <w:tcPr>
            <w:tcW w:w="276" w:type="dxa"/>
            <w:tcBorders>
              <w:top w:val="nil"/>
              <w:left w:val="nil"/>
              <w:bottom w:val="single" w:sz="8" w:space="0" w:color="auto"/>
              <w:right w:val="single" w:sz="8" w:space="0" w:color="auto"/>
            </w:tcBorders>
            <w:shd w:val="clear" w:color="000000" w:fill="4F81BD"/>
            <w:vAlign w:val="center"/>
            <w:hideMark/>
          </w:tcPr>
          <w:p w14:paraId="3B97077C" w14:textId="77777777" w:rsidR="00E33465" w:rsidRPr="009938F2" w:rsidRDefault="00E33465" w:rsidP="00E33465">
            <w:pPr>
              <w:jc w:val="both"/>
              <w:rPr>
                <w:rFonts w:ascii="Calibri" w:eastAsia="Times New Roman" w:hAnsi="Calibri" w:cs="Times New Roman"/>
                <w:i/>
                <w:iCs/>
                <w:color w:val="FFFFFF"/>
                <w:sz w:val="16"/>
                <w:szCs w:val="16"/>
                <w:lang w:val="it-IT"/>
              </w:rPr>
            </w:pPr>
            <w:r w:rsidRPr="009938F2">
              <w:rPr>
                <w:rFonts w:ascii="Calibri" w:eastAsia="Times New Roman" w:hAnsi="Calibri" w:cs="Times New Roman"/>
                <w:i/>
                <w:iCs/>
                <w:color w:val="FFFFFF"/>
                <w:sz w:val="16"/>
                <w:szCs w:val="16"/>
                <w:lang w:val="it-IT"/>
              </w:rPr>
              <w:t>2°</w:t>
            </w:r>
          </w:p>
        </w:tc>
        <w:tc>
          <w:tcPr>
            <w:tcW w:w="276" w:type="dxa"/>
            <w:tcBorders>
              <w:top w:val="nil"/>
              <w:left w:val="nil"/>
              <w:bottom w:val="single" w:sz="8" w:space="0" w:color="auto"/>
              <w:right w:val="single" w:sz="8" w:space="0" w:color="auto"/>
            </w:tcBorders>
            <w:shd w:val="clear" w:color="000000" w:fill="4F81BD"/>
            <w:vAlign w:val="center"/>
            <w:hideMark/>
          </w:tcPr>
          <w:p w14:paraId="2C06FED5" w14:textId="77777777" w:rsidR="00E33465" w:rsidRPr="009938F2" w:rsidRDefault="00E33465" w:rsidP="00E33465">
            <w:pPr>
              <w:jc w:val="both"/>
              <w:rPr>
                <w:rFonts w:ascii="Calibri" w:eastAsia="Times New Roman" w:hAnsi="Calibri" w:cs="Times New Roman"/>
                <w:i/>
                <w:iCs/>
                <w:color w:val="FFFFFF"/>
                <w:sz w:val="16"/>
                <w:szCs w:val="16"/>
                <w:lang w:val="it-IT"/>
              </w:rPr>
            </w:pPr>
            <w:r w:rsidRPr="009938F2">
              <w:rPr>
                <w:rFonts w:ascii="Calibri" w:eastAsia="Times New Roman" w:hAnsi="Calibri" w:cs="Times New Roman"/>
                <w:i/>
                <w:iCs/>
                <w:color w:val="FFFFFF"/>
                <w:sz w:val="16"/>
                <w:szCs w:val="16"/>
                <w:lang w:val="it-IT"/>
              </w:rPr>
              <w:t>1°</w:t>
            </w:r>
          </w:p>
        </w:tc>
        <w:tc>
          <w:tcPr>
            <w:tcW w:w="276" w:type="dxa"/>
            <w:tcBorders>
              <w:top w:val="nil"/>
              <w:left w:val="nil"/>
              <w:bottom w:val="single" w:sz="8" w:space="0" w:color="auto"/>
              <w:right w:val="single" w:sz="8" w:space="0" w:color="auto"/>
            </w:tcBorders>
            <w:shd w:val="clear" w:color="000000" w:fill="4F81BD"/>
            <w:vAlign w:val="center"/>
            <w:hideMark/>
          </w:tcPr>
          <w:p w14:paraId="236B029A" w14:textId="77777777" w:rsidR="00E33465" w:rsidRPr="009938F2" w:rsidRDefault="00E33465" w:rsidP="00E33465">
            <w:pPr>
              <w:jc w:val="both"/>
              <w:rPr>
                <w:rFonts w:ascii="Calibri" w:eastAsia="Times New Roman" w:hAnsi="Calibri" w:cs="Times New Roman"/>
                <w:i/>
                <w:iCs/>
                <w:color w:val="FFFFFF"/>
                <w:sz w:val="16"/>
                <w:szCs w:val="16"/>
                <w:lang w:val="it-IT"/>
              </w:rPr>
            </w:pPr>
            <w:r w:rsidRPr="009938F2">
              <w:rPr>
                <w:rFonts w:ascii="Calibri" w:eastAsia="Times New Roman" w:hAnsi="Calibri" w:cs="Times New Roman"/>
                <w:i/>
                <w:iCs/>
                <w:color w:val="FFFFFF"/>
                <w:sz w:val="16"/>
                <w:szCs w:val="16"/>
                <w:lang w:val="it-IT"/>
              </w:rPr>
              <w:t>2°</w:t>
            </w:r>
          </w:p>
        </w:tc>
        <w:tc>
          <w:tcPr>
            <w:tcW w:w="276" w:type="dxa"/>
            <w:tcBorders>
              <w:top w:val="nil"/>
              <w:left w:val="nil"/>
              <w:bottom w:val="single" w:sz="8" w:space="0" w:color="auto"/>
              <w:right w:val="single" w:sz="8" w:space="0" w:color="auto"/>
            </w:tcBorders>
            <w:shd w:val="clear" w:color="000000" w:fill="4F81BD"/>
            <w:vAlign w:val="center"/>
            <w:hideMark/>
          </w:tcPr>
          <w:p w14:paraId="5B4FA3E3" w14:textId="77777777" w:rsidR="00E33465" w:rsidRPr="009938F2" w:rsidRDefault="00E33465" w:rsidP="00E33465">
            <w:pPr>
              <w:jc w:val="both"/>
              <w:rPr>
                <w:rFonts w:ascii="Calibri" w:eastAsia="Times New Roman" w:hAnsi="Calibri" w:cs="Times New Roman"/>
                <w:i/>
                <w:iCs/>
                <w:color w:val="FFFFFF"/>
                <w:sz w:val="16"/>
                <w:szCs w:val="16"/>
                <w:lang w:val="it-IT"/>
              </w:rPr>
            </w:pPr>
            <w:r w:rsidRPr="009938F2">
              <w:rPr>
                <w:rFonts w:ascii="Calibri" w:eastAsia="Times New Roman" w:hAnsi="Calibri" w:cs="Times New Roman"/>
                <w:i/>
                <w:iCs/>
                <w:color w:val="FFFFFF"/>
                <w:sz w:val="16"/>
                <w:szCs w:val="16"/>
                <w:lang w:val="it-IT"/>
              </w:rPr>
              <w:t>1°</w:t>
            </w:r>
          </w:p>
        </w:tc>
        <w:tc>
          <w:tcPr>
            <w:tcW w:w="276" w:type="dxa"/>
            <w:tcBorders>
              <w:top w:val="nil"/>
              <w:left w:val="nil"/>
              <w:bottom w:val="single" w:sz="8" w:space="0" w:color="auto"/>
              <w:right w:val="single" w:sz="8" w:space="0" w:color="auto"/>
            </w:tcBorders>
            <w:shd w:val="clear" w:color="000000" w:fill="4F81BD"/>
            <w:vAlign w:val="center"/>
            <w:hideMark/>
          </w:tcPr>
          <w:p w14:paraId="194F226B" w14:textId="77777777" w:rsidR="00E33465" w:rsidRPr="009938F2" w:rsidRDefault="00E33465" w:rsidP="00E33465">
            <w:pPr>
              <w:jc w:val="both"/>
              <w:rPr>
                <w:rFonts w:ascii="Calibri" w:eastAsia="Times New Roman" w:hAnsi="Calibri" w:cs="Times New Roman"/>
                <w:i/>
                <w:iCs/>
                <w:color w:val="FFFFFF"/>
                <w:sz w:val="16"/>
                <w:szCs w:val="16"/>
                <w:lang w:val="it-IT"/>
              </w:rPr>
            </w:pPr>
            <w:r w:rsidRPr="009938F2">
              <w:rPr>
                <w:rFonts w:ascii="Calibri" w:eastAsia="Times New Roman" w:hAnsi="Calibri" w:cs="Times New Roman"/>
                <w:i/>
                <w:iCs/>
                <w:color w:val="FFFFFF"/>
                <w:sz w:val="16"/>
                <w:szCs w:val="16"/>
                <w:lang w:val="it-IT"/>
              </w:rPr>
              <w:t>2°</w:t>
            </w:r>
          </w:p>
        </w:tc>
        <w:tc>
          <w:tcPr>
            <w:tcW w:w="276" w:type="dxa"/>
            <w:tcBorders>
              <w:top w:val="nil"/>
              <w:left w:val="nil"/>
              <w:bottom w:val="single" w:sz="8" w:space="0" w:color="auto"/>
              <w:right w:val="single" w:sz="8" w:space="0" w:color="auto"/>
            </w:tcBorders>
            <w:shd w:val="clear" w:color="000000" w:fill="4F81BD"/>
            <w:vAlign w:val="center"/>
            <w:hideMark/>
          </w:tcPr>
          <w:p w14:paraId="0BE82C61" w14:textId="77777777" w:rsidR="00E33465" w:rsidRPr="009938F2" w:rsidRDefault="00E33465" w:rsidP="00E33465">
            <w:pPr>
              <w:jc w:val="both"/>
              <w:rPr>
                <w:rFonts w:ascii="Calibri" w:eastAsia="Times New Roman" w:hAnsi="Calibri" w:cs="Times New Roman"/>
                <w:i/>
                <w:iCs/>
                <w:color w:val="FFFFFF"/>
                <w:sz w:val="16"/>
                <w:szCs w:val="16"/>
                <w:lang w:val="it-IT"/>
              </w:rPr>
            </w:pPr>
            <w:r w:rsidRPr="009938F2">
              <w:rPr>
                <w:rFonts w:ascii="Calibri" w:eastAsia="Times New Roman" w:hAnsi="Calibri" w:cs="Times New Roman"/>
                <w:i/>
                <w:iCs/>
                <w:color w:val="FFFFFF"/>
                <w:sz w:val="16"/>
                <w:szCs w:val="16"/>
                <w:lang w:val="it-IT"/>
              </w:rPr>
              <w:t>1°</w:t>
            </w:r>
          </w:p>
        </w:tc>
        <w:tc>
          <w:tcPr>
            <w:tcW w:w="269" w:type="dxa"/>
            <w:tcBorders>
              <w:top w:val="nil"/>
              <w:left w:val="nil"/>
              <w:bottom w:val="single" w:sz="8" w:space="0" w:color="auto"/>
              <w:right w:val="single" w:sz="8" w:space="0" w:color="auto"/>
            </w:tcBorders>
            <w:shd w:val="clear" w:color="000000" w:fill="4F81BD"/>
            <w:vAlign w:val="center"/>
            <w:hideMark/>
          </w:tcPr>
          <w:p w14:paraId="64FB3FFB" w14:textId="77777777" w:rsidR="00E33465" w:rsidRPr="009938F2" w:rsidRDefault="00E33465" w:rsidP="00E33465">
            <w:pPr>
              <w:jc w:val="both"/>
              <w:rPr>
                <w:rFonts w:ascii="Calibri" w:eastAsia="Times New Roman" w:hAnsi="Calibri" w:cs="Times New Roman"/>
                <w:i/>
                <w:iCs/>
                <w:color w:val="FFFFFF"/>
                <w:sz w:val="16"/>
                <w:szCs w:val="16"/>
                <w:lang w:val="it-IT"/>
              </w:rPr>
            </w:pPr>
            <w:r w:rsidRPr="009938F2">
              <w:rPr>
                <w:rFonts w:ascii="Calibri" w:eastAsia="Times New Roman" w:hAnsi="Calibri" w:cs="Times New Roman"/>
                <w:i/>
                <w:iCs/>
                <w:color w:val="FFFFFF"/>
                <w:sz w:val="16"/>
                <w:szCs w:val="16"/>
                <w:lang w:val="it-IT"/>
              </w:rPr>
              <w:t>2°</w:t>
            </w:r>
          </w:p>
        </w:tc>
        <w:tc>
          <w:tcPr>
            <w:tcW w:w="283" w:type="dxa"/>
            <w:tcBorders>
              <w:top w:val="nil"/>
              <w:left w:val="nil"/>
              <w:bottom w:val="single" w:sz="8" w:space="0" w:color="auto"/>
              <w:right w:val="single" w:sz="8" w:space="0" w:color="auto"/>
            </w:tcBorders>
            <w:shd w:val="clear" w:color="000000" w:fill="4F81BD"/>
            <w:vAlign w:val="center"/>
            <w:hideMark/>
          </w:tcPr>
          <w:p w14:paraId="15D2699C" w14:textId="77777777" w:rsidR="00E33465" w:rsidRPr="009938F2" w:rsidRDefault="00E33465" w:rsidP="00E33465">
            <w:pPr>
              <w:jc w:val="both"/>
              <w:rPr>
                <w:rFonts w:ascii="Calibri" w:eastAsia="Times New Roman" w:hAnsi="Calibri" w:cs="Times New Roman"/>
                <w:i/>
                <w:iCs/>
                <w:color w:val="FFFFFF"/>
                <w:sz w:val="16"/>
                <w:szCs w:val="16"/>
                <w:lang w:val="it-IT"/>
              </w:rPr>
            </w:pPr>
            <w:r w:rsidRPr="009938F2">
              <w:rPr>
                <w:rFonts w:ascii="Calibri" w:eastAsia="Times New Roman" w:hAnsi="Calibri" w:cs="Times New Roman"/>
                <w:i/>
                <w:iCs/>
                <w:color w:val="FFFFFF"/>
                <w:sz w:val="16"/>
                <w:szCs w:val="16"/>
                <w:lang w:val="it-IT"/>
              </w:rPr>
              <w:t>1°</w:t>
            </w:r>
          </w:p>
        </w:tc>
        <w:tc>
          <w:tcPr>
            <w:tcW w:w="276" w:type="dxa"/>
            <w:tcBorders>
              <w:top w:val="nil"/>
              <w:left w:val="nil"/>
              <w:bottom w:val="single" w:sz="8" w:space="0" w:color="auto"/>
              <w:right w:val="single" w:sz="8" w:space="0" w:color="auto"/>
            </w:tcBorders>
            <w:shd w:val="clear" w:color="000000" w:fill="4F81BD"/>
            <w:vAlign w:val="center"/>
            <w:hideMark/>
          </w:tcPr>
          <w:p w14:paraId="442A4EF4" w14:textId="77777777" w:rsidR="00E33465" w:rsidRPr="009938F2" w:rsidRDefault="00E33465" w:rsidP="00E33465">
            <w:pPr>
              <w:jc w:val="both"/>
              <w:rPr>
                <w:rFonts w:ascii="Calibri" w:eastAsia="Times New Roman" w:hAnsi="Calibri" w:cs="Times New Roman"/>
                <w:i/>
                <w:iCs/>
                <w:color w:val="FFFFFF"/>
                <w:sz w:val="16"/>
                <w:szCs w:val="16"/>
                <w:lang w:val="it-IT"/>
              </w:rPr>
            </w:pPr>
            <w:r w:rsidRPr="009938F2">
              <w:rPr>
                <w:rFonts w:ascii="Calibri" w:eastAsia="Times New Roman" w:hAnsi="Calibri" w:cs="Times New Roman"/>
                <w:i/>
                <w:iCs/>
                <w:color w:val="FFFFFF"/>
                <w:sz w:val="16"/>
                <w:szCs w:val="16"/>
                <w:lang w:val="it-IT"/>
              </w:rPr>
              <w:t>2°</w:t>
            </w:r>
          </w:p>
        </w:tc>
        <w:tc>
          <w:tcPr>
            <w:tcW w:w="276" w:type="dxa"/>
            <w:tcBorders>
              <w:top w:val="nil"/>
              <w:left w:val="nil"/>
              <w:bottom w:val="single" w:sz="8" w:space="0" w:color="auto"/>
              <w:right w:val="single" w:sz="8" w:space="0" w:color="auto"/>
            </w:tcBorders>
            <w:shd w:val="clear" w:color="000000" w:fill="4F81BD"/>
            <w:vAlign w:val="center"/>
            <w:hideMark/>
          </w:tcPr>
          <w:p w14:paraId="2623B2D8" w14:textId="77777777" w:rsidR="00E33465" w:rsidRPr="009938F2" w:rsidRDefault="00E33465" w:rsidP="00E33465">
            <w:pPr>
              <w:jc w:val="both"/>
              <w:rPr>
                <w:rFonts w:ascii="Calibri" w:eastAsia="Times New Roman" w:hAnsi="Calibri" w:cs="Times New Roman"/>
                <w:i/>
                <w:iCs/>
                <w:color w:val="FFFFFF"/>
                <w:sz w:val="16"/>
                <w:szCs w:val="16"/>
                <w:lang w:val="it-IT"/>
              </w:rPr>
            </w:pPr>
            <w:r w:rsidRPr="009938F2">
              <w:rPr>
                <w:rFonts w:ascii="Calibri" w:eastAsia="Times New Roman" w:hAnsi="Calibri" w:cs="Times New Roman"/>
                <w:i/>
                <w:iCs/>
                <w:color w:val="FFFFFF"/>
                <w:sz w:val="16"/>
                <w:szCs w:val="16"/>
                <w:lang w:val="it-IT"/>
              </w:rPr>
              <w:t>1°</w:t>
            </w:r>
          </w:p>
        </w:tc>
        <w:tc>
          <w:tcPr>
            <w:tcW w:w="276" w:type="dxa"/>
            <w:tcBorders>
              <w:top w:val="nil"/>
              <w:left w:val="nil"/>
              <w:bottom w:val="single" w:sz="8" w:space="0" w:color="auto"/>
              <w:right w:val="single" w:sz="8" w:space="0" w:color="auto"/>
            </w:tcBorders>
            <w:shd w:val="clear" w:color="000000" w:fill="4F81BD"/>
            <w:vAlign w:val="center"/>
            <w:hideMark/>
          </w:tcPr>
          <w:p w14:paraId="4290D7E5" w14:textId="77777777" w:rsidR="00E33465" w:rsidRPr="009938F2" w:rsidRDefault="00E33465" w:rsidP="00E33465">
            <w:pPr>
              <w:jc w:val="both"/>
              <w:rPr>
                <w:rFonts w:ascii="Calibri" w:eastAsia="Times New Roman" w:hAnsi="Calibri" w:cs="Times New Roman"/>
                <w:i/>
                <w:iCs/>
                <w:color w:val="FFFFFF"/>
                <w:sz w:val="16"/>
                <w:szCs w:val="16"/>
                <w:lang w:val="it-IT"/>
              </w:rPr>
            </w:pPr>
            <w:r w:rsidRPr="009938F2">
              <w:rPr>
                <w:rFonts w:ascii="Calibri" w:eastAsia="Times New Roman" w:hAnsi="Calibri" w:cs="Times New Roman"/>
                <w:i/>
                <w:iCs/>
                <w:color w:val="FFFFFF"/>
                <w:sz w:val="16"/>
                <w:szCs w:val="16"/>
                <w:lang w:val="it-IT"/>
              </w:rPr>
              <w:t>2°</w:t>
            </w:r>
          </w:p>
        </w:tc>
      </w:tr>
      <w:tr w:rsidR="00E33465" w:rsidRPr="009938F2" w14:paraId="4288E453" w14:textId="77777777" w:rsidTr="00F03904">
        <w:trPr>
          <w:trHeight w:val="387"/>
        </w:trPr>
        <w:tc>
          <w:tcPr>
            <w:tcW w:w="4350" w:type="dxa"/>
            <w:vMerge w:val="restart"/>
            <w:tcBorders>
              <w:top w:val="nil"/>
              <w:left w:val="single" w:sz="8" w:space="0" w:color="auto"/>
              <w:bottom w:val="single" w:sz="8" w:space="0" w:color="000000"/>
              <w:right w:val="single" w:sz="8" w:space="0" w:color="auto"/>
            </w:tcBorders>
            <w:shd w:val="clear" w:color="auto" w:fill="auto"/>
            <w:vAlign w:val="center"/>
            <w:hideMark/>
          </w:tcPr>
          <w:p w14:paraId="1460111A" w14:textId="6DE55E80" w:rsidR="00E33465" w:rsidRPr="009938F2" w:rsidRDefault="00E33465" w:rsidP="00137C23">
            <w:pPr>
              <w:jc w:val="both"/>
              <w:rPr>
                <w:rFonts w:ascii="Calibri" w:eastAsia="Times New Roman" w:hAnsi="Calibri" w:cs="Times New Roman"/>
                <w:sz w:val="16"/>
                <w:szCs w:val="16"/>
              </w:rPr>
            </w:pPr>
            <w:r w:rsidRPr="009938F2">
              <w:rPr>
                <w:rFonts w:ascii="Calibri" w:eastAsia="Times New Roman" w:hAnsi="Calibri" w:cs="Times New Roman"/>
                <w:sz w:val="16"/>
                <w:szCs w:val="16"/>
              </w:rPr>
              <w:t xml:space="preserve">Lancement  appel </w:t>
            </w:r>
            <w:r w:rsidR="00480445">
              <w:rPr>
                <w:rFonts w:ascii="Calibri" w:eastAsia="Times New Roman" w:hAnsi="Calibri" w:cs="Times New Roman"/>
                <w:sz w:val="16"/>
                <w:szCs w:val="16"/>
              </w:rPr>
              <w:t xml:space="preserve">« petits projets » </w:t>
            </w:r>
            <w:r>
              <w:rPr>
                <w:rFonts w:ascii="Calibri" w:eastAsia="Times New Roman" w:hAnsi="Calibri" w:cs="Times New Roman"/>
                <w:sz w:val="16"/>
                <w:szCs w:val="16"/>
              </w:rPr>
              <w:t xml:space="preserve"> </w:t>
            </w:r>
            <w:r w:rsidR="00F03904">
              <w:rPr>
                <w:rFonts w:ascii="Calibri" w:eastAsia="Times New Roman" w:hAnsi="Calibri" w:cs="Times New Roman"/>
                <w:sz w:val="16"/>
                <w:szCs w:val="16"/>
              </w:rPr>
              <w:t>(OSI 1.6)</w:t>
            </w:r>
          </w:p>
        </w:tc>
        <w:tc>
          <w:tcPr>
            <w:tcW w:w="276" w:type="dxa"/>
            <w:vMerge w:val="restart"/>
            <w:tcBorders>
              <w:top w:val="nil"/>
              <w:left w:val="single" w:sz="8" w:space="0" w:color="auto"/>
              <w:bottom w:val="single" w:sz="8" w:space="0" w:color="000000"/>
              <w:right w:val="single" w:sz="8" w:space="0" w:color="auto"/>
            </w:tcBorders>
            <w:shd w:val="clear" w:color="auto" w:fill="auto"/>
            <w:vAlign w:val="center"/>
            <w:hideMark/>
          </w:tcPr>
          <w:p w14:paraId="447CD2F5" w14:textId="77777777" w:rsidR="00E33465" w:rsidRPr="002D37D9" w:rsidRDefault="00E33465" w:rsidP="00E33465">
            <w:pPr>
              <w:jc w:val="both"/>
              <w:rPr>
                <w:rFonts w:ascii="Calibri" w:eastAsia="Times New Roman" w:hAnsi="Calibri" w:cs="Times New Roman"/>
                <w:szCs w:val="22"/>
              </w:rPr>
            </w:pPr>
            <w:r w:rsidRPr="002D37D9">
              <w:rPr>
                <w:rFonts w:ascii="Calibri" w:eastAsia="Times New Roman" w:hAnsi="Calibri" w:cs="Times New Roman"/>
                <w:szCs w:val="22"/>
              </w:rPr>
              <w:t> </w:t>
            </w:r>
          </w:p>
        </w:tc>
        <w:tc>
          <w:tcPr>
            <w:tcW w:w="276" w:type="dxa"/>
            <w:vMerge w:val="restart"/>
            <w:tcBorders>
              <w:top w:val="nil"/>
              <w:left w:val="single" w:sz="8" w:space="0" w:color="auto"/>
              <w:bottom w:val="single" w:sz="8" w:space="0" w:color="000000"/>
              <w:right w:val="single" w:sz="8" w:space="0" w:color="auto"/>
            </w:tcBorders>
            <w:shd w:val="clear" w:color="auto" w:fill="auto"/>
            <w:vAlign w:val="center"/>
            <w:hideMark/>
          </w:tcPr>
          <w:p w14:paraId="03B5E9E8" w14:textId="77777777" w:rsidR="00E33465" w:rsidRPr="002D37D9" w:rsidRDefault="00E33465" w:rsidP="00E33465">
            <w:pPr>
              <w:jc w:val="both"/>
              <w:rPr>
                <w:rFonts w:ascii="Calibri" w:eastAsia="Times New Roman" w:hAnsi="Calibri" w:cs="Times New Roman"/>
                <w:color w:val="FFFFFF"/>
                <w:szCs w:val="22"/>
              </w:rPr>
            </w:pPr>
            <w:r w:rsidRPr="002D37D9">
              <w:rPr>
                <w:rFonts w:ascii="Calibri" w:eastAsia="Times New Roman" w:hAnsi="Calibri" w:cs="Times New Roman"/>
                <w:color w:val="FFFFFF"/>
                <w:szCs w:val="22"/>
              </w:rPr>
              <w:t> </w:t>
            </w:r>
          </w:p>
        </w:tc>
        <w:tc>
          <w:tcPr>
            <w:tcW w:w="276" w:type="dxa"/>
            <w:vMerge w:val="restart"/>
            <w:tcBorders>
              <w:top w:val="nil"/>
              <w:left w:val="single" w:sz="8" w:space="0" w:color="auto"/>
              <w:bottom w:val="single" w:sz="8" w:space="0" w:color="000000"/>
              <w:right w:val="single" w:sz="8" w:space="0" w:color="auto"/>
            </w:tcBorders>
            <w:shd w:val="clear" w:color="auto" w:fill="auto"/>
            <w:vAlign w:val="center"/>
            <w:hideMark/>
          </w:tcPr>
          <w:p w14:paraId="74DB2825" w14:textId="77777777" w:rsidR="00E33465" w:rsidRPr="002D37D9" w:rsidRDefault="00E33465" w:rsidP="00E33465">
            <w:pPr>
              <w:jc w:val="both"/>
              <w:rPr>
                <w:rFonts w:ascii="Calibri" w:eastAsia="Times New Roman" w:hAnsi="Calibri" w:cs="Times New Roman"/>
                <w:color w:val="FFFFFF"/>
                <w:szCs w:val="22"/>
              </w:rPr>
            </w:pPr>
            <w:r w:rsidRPr="002D37D9">
              <w:rPr>
                <w:rFonts w:ascii="Calibri" w:eastAsia="Times New Roman" w:hAnsi="Calibri" w:cs="Times New Roman"/>
                <w:color w:val="FFFFFF"/>
                <w:szCs w:val="22"/>
              </w:rPr>
              <w:t> </w:t>
            </w:r>
          </w:p>
        </w:tc>
        <w:tc>
          <w:tcPr>
            <w:tcW w:w="276" w:type="dxa"/>
            <w:vMerge w:val="restart"/>
            <w:tcBorders>
              <w:top w:val="single" w:sz="8" w:space="0" w:color="auto"/>
              <w:left w:val="single" w:sz="8" w:space="0" w:color="auto"/>
              <w:bottom w:val="single" w:sz="8" w:space="0" w:color="000000"/>
              <w:right w:val="single" w:sz="8" w:space="0" w:color="auto"/>
            </w:tcBorders>
            <w:shd w:val="clear" w:color="auto" w:fill="99CCFF"/>
            <w:vAlign w:val="center"/>
            <w:hideMark/>
          </w:tcPr>
          <w:p w14:paraId="169FFC7E" w14:textId="77777777" w:rsidR="00E33465" w:rsidRPr="002D37D9" w:rsidRDefault="00E33465" w:rsidP="00E33465">
            <w:pPr>
              <w:jc w:val="both"/>
              <w:rPr>
                <w:rFonts w:ascii="Calibri" w:eastAsia="Times New Roman" w:hAnsi="Calibri" w:cs="Times New Roman"/>
                <w:color w:val="FFFFFF"/>
                <w:szCs w:val="22"/>
              </w:rPr>
            </w:pPr>
            <w:r w:rsidRPr="002D37D9">
              <w:rPr>
                <w:rFonts w:ascii="Calibri" w:eastAsia="Times New Roman" w:hAnsi="Calibri" w:cs="Times New Roman"/>
                <w:color w:val="FFFFFF"/>
                <w:szCs w:val="22"/>
              </w:rPr>
              <w:t> </w:t>
            </w:r>
          </w:p>
        </w:tc>
        <w:tc>
          <w:tcPr>
            <w:tcW w:w="276" w:type="dxa"/>
            <w:vMerge w:val="restart"/>
            <w:tcBorders>
              <w:top w:val="nil"/>
              <w:left w:val="single" w:sz="8" w:space="0" w:color="auto"/>
              <w:bottom w:val="single" w:sz="8" w:space="0" w:color="000000"/>
              <w:right w:val="single" w:sz="8" w:space="0" w:color="auto"/>
            </w:tcBorders>
            <w:shd w:val="clear" w:color="auto" w:fill="auto"/>
            <w:vAlign w:val="center"/>
            <w:hideMark/>
          </w:tcPr>
          <w:p w14:paraId="12A63ABA" w14:textId="77777777" w:rsidR="00E33465" w:rsidRPr="002D37D9" w:rsidRDefault="00E33465" w:rsidP="00E33465">
            <w:pPr>
              <w:jc w:val="both"/>
              <w:rPr>
                <w:rFonts w:ascii="Calibri" w:eastAsia="Times New Roman" w:hAnsi="Calibri" w:cs="Times New Roman"/>
                <w:color w:val="FFFFFF"/>
                <w:szCs w:val="22"/>
              </w:rPr>
            </w:pPr>
            <w:r w:rsidRPr="002D37D9">
              <w:rPr>
                <w:rFonts w:ascii="Calibri" w:eastAsia="Times New Roman" w:hAnsi="Calibri" w:cs="Times New Roman"/>
                <w:color w:val="FFFFFF"/>
                <w:szCs w:val="22"/>
              </w:rPr>
              <w:t> </w:t>
            </w:r>
          </w:p>
        </w:tc>
        <w:tc>
          <w:tcPr>
            <w:tcW w:w="276" w:type="dxa"/>
            <w:vMerge w:val="restart"/>
            <w:tcBorders>
              <w:top w:val="nil"/>
              <w:left w:val="single" w:sz="8" w:space="0" w:color="auto"/>
              <w:bottom w:val="single" w:sz="8" w:space="0" w:color="000000"/>
              <w:right w:val="single" w:sz="8" w:space="0" w:color="auto"/>
            </w:tcBorders>
            <w:shd w:val="clear" w:color="auto" w:fill="auto"/>
            <w:vAlign w:val="center"/>
            <w:hideMark/>
          </w:tcPr>
          <w:p w14:paraId="0E27B9F4" w14:textId="77777777" w:rsidR="00E33465" w:rsidRPr="002D37D9" w:rsidRDefault="00E33465" w:rsidP="00E33465">
            <w:pPr>
              <w:jc w:val="both"/>
              <w:rPr>
                <w:rFonts w:ascii="Calibri" w:eastAsia="Times New Roman" w:hAnsi="Calibri" w:cs="Times New Roman"/>
                <w:color w:val="FFFFFF"/>
                <w:szCs w:val="22"/>
              </w:rPr>
            </w:pPr>
            <w:r w:rsidRPr="002D37D9">
              <w:rPr>
                <w:rFonts w:ascii="Calibri" w:eastAsia="Times New Roman" w:hAnsi="Calibri" w:cs="Times New Roman"/>
                <w:color w:val="FFFFFF"/>
                <w:szCs w:val="22"/>
              </w:rPr>
              <w:t> </w:t>
            </w:r>
          </w:p>
        </w:tc>
        <w:tc>
          <w:tcPr>
            <w:tcW w:w="276" w:type="dxa"/>
            <w:vMerge w:val="restart"/>
            <w:tcBorders>
              <w:top w:val="nil"/>
              <w:left w:val="single" w:sz="8" w:space="0" w:color="auto"/>
              <w:bottom w:val="single" w:sz="8" w:space="0" w:color="000000"/>
              <w:right w:val="single" w:sz="8" w:space="0" w:color="auto"/>
            </w:tcBorders>
            <w:shd w:val="clear" w:color="auto" w:fill="auto"/>
            <w:vAlign w:val="center"/>
            <w:hideMark/>
          </w:tcPr>
          <w:p w14:paraId="25158AF4" w14:textId="77777777" w:rsidR="00E33465" w:rsidRPr="002D37D9" w:rsidRDefault="00E33465" w:rsidP="00E33465">
            <w:pPr>
              <w:jc w:val="both"/>
              <w:rPr>
                <w:rFonts w:ascii="Calibri" w:eastAsia="Times New Roman" w:hAnsi="Calibri" w:cs="Times New Roman"/>
                <w:color w:val="FFFFFF"/>
                <w:szCs w:val="22"/>
              </w:rPr>
            </w:pPr>
            <w:r w:rsidRPr="002D37D9">
              <w:rPr>
                <w:rFonts w:ascii="Calibri" w:eastAsia="Times New Roman" w:hAnsi="Calibri" w:cs="Times New Roman"/>
                <w:color w:val="FFFFFF"/>
                <w:szCs w:val="22"/>
              </w:rPr>
              <w:t> </w:t>
            </w:r>
          </w:p>
        </w:tc>
        <w:tc>
          <w:tcPr>
            <w:tcW w:w="276" w:type="dxa"/>
            <w:vMerge w:val="restart"/>
            <w:tcBorders>
              <w:top w:val="nil"/>
              <w:left w:val="single" w:sz="8" w:space="0" w:color="auto"/>
              <w:bottom w:val="single" w:sz="8" w:space="0" w:color="000000"/>
              <w:right w:val="single" w:sz="8" w:space="0" w:color="auto"/>
            </w:tcBorders>
            <w:shd w:val="clear" w:color="auto" w:fill="auto"/>
            <w:vAlign w:val="center"/>
            <w:hideMark/>
          </w:tcPr>
          <w:p w14:paraId="468066CA" w14:textId="77777777" w:rsidR="00E33465" w:rsidRPr="002D37D9" w:rsidRDefault="00E33465" w:rsidP="00E33465">
            <w:pPr>
              <w:jc w:val="both"/>
              <w:rPr>
                <w:rFonts w:ascii="Calibri" w:eastAsia="Times New Roman" w:hAnsi="Calibri" w:cs="Times New Roman"/>
                <w:color w:val="FFFFFF"/>
                <w:szCs w:val="22"/>
              </w:rPr>
            </w:pPr>
            <w:r w:rsidRPr="002D37D9">
              <w:rPr>
                <w:rFonts w:ascii="Calibri" w:eastAsia="Times New Roman" w:hAnsi="Calibri" w:cs="Times New Roman"/>
                <w:color w:val="FFFFFF"/>
                <w:szCs w:val="22"/>
              </w:rPr>
              <w:t> </w:t>
            </w:r>
          </w:p>
        </w:tc>
        <w:tc>
          <w:tcPr>
            <w:tcW w:w="276" w:type="dxa"/>
            <w:vMerge w:val="restart"/>
            <w:tcBorders>
              <w:top w:val="nil"/>
              <w:left w:val="single" w:sz="8" w:space="0" w:color="auto"/>
              <w:bottom w:val="single" w:sz="8" w:space="0" w:color="000000"/>
              <w:right w:val="single" w:sz="8" w:space="0" w:color="auto"/>
            </w:tcBorders>
            <w:shd w:val="clear" w:color="auto" w:fill="auto"/>
            <w:vAlign w:val="center"/>
            <w:hideMark/>
          </w:tcPr>
          <w:p w14:paraId="46F43D68" w14:textId="77777777" w:rsidR="00E33465" w:rsidRPr="002D37D9" w:rsidRDefault="00E33465" w:rsidP="00E33465">
            <w:pPr>
              <w:jc w:val="both"/>
              <w:rPr>
                <w:rFonts w:ascii="Calibri" w:eastAsia="Times New Roman" w:hAnsi="Calibri" w:cs="Times New Roman"/>
                <w:color w:val="FFFFFF"/>
                <w:szCs w:val="22"/>
              </w:rPr>
            </w:pPr>
            <w:r w:rsidRPr="002D37D9">
              <w:rPr>
                <w:rFonts w:ascii="Calibri" w:eastAsia="Times New Roman" w:hAnsi="Calibri" w:cs="Times New Roman"/>
                <w:color w:val="FFFFFF"/>
                <w:szCs w:val="22"/>
              </w:rPr>
              <w:t> </w:t>
            </w:r>
          </w:p>
        </w:tc>
        <w:tc>
          <w:tcPr>
            <w:tcW w:w="269" w:type="dxa"/>
            <w:vMerge w:val="restart"/>
            <w:tcBorders>
              <w:top w:val="nil"/>
              <w:left w:val="single" w:sz="8" w:space="0" w:color="auto"/>
              <w:bottom w:val="single" w:sz="8" w:space="0" w:color="000000"/>
              <w:right w:val="single" w:sz="8" w:space="0" w:color="auto"/>
            </w:tcBorders>
            <w:shd w:val="clear" w:color="auto" w:fill="auto"/>
            <w:vAlign w:val="center"/>
            <w:hideMark/>
          </w:tcPr>
          <w:p w14:paraId="22E49972" w14:textId="77777777" w:rsidR="00E33465" w:rsidRPr="002D37D9" w:rsidRDefault="00E33465" w:rsidP="00E33465">
            <w:pPr>
              <w:jc w:val="both"/>
              <w:rPr>
                <w:rFonts w:ascii="Calibri" w:eastAsia="Times New Roman" w:hAnsi="Calibri" w:cs="Times New Roman"/>
                <w:color w:val="FFFFFF"/>
                <w:szCs w:val="22"/>
              </w:rPr>
            </w:pPr>
            <w:r w:rsidRPr="002D37D9">
              <w:rPr>
                <w:rFonts w:ascii="Calibri" w:eastAsia="Times New Roman" w:hAnsi="Calibri" w:cs="Times New Roman"/>
                <w:color w:val="FFFFFF"/>
                <w:szCs w:val="22"/>
              </w:rPr>
              <w:t> </w:t>
            </w:r>
          </w:p>
        </w:tc>
        <w:tc>
          <w:tcPr>
            <w:tcW w:w="283" w:type="dxa"/>
            <w:vMerge w:val="restart"/>
            <w:tcBorders>
              <w:top w:val="nil"/>
              <w:left w:val="single" w:sz="8" w:space="0" w:color="auto"/>
              <w:bottom w:val="single" w:sz="8" w:space="0" w:color="000000"/>
              <w:right w:val="single" w:sz="8" w:space="0" w:color="auto"/>
            </w:tcBorders>
            <w:shd w:val="clear" w:color="auto" w:fill="auto"/>
            <w:vAlign w:val="center"/>
            <w:hideMark/>
          </w:tcPr>
          <w:p w14:paraId="36DF7C03" w14:textId="77777777" w:rsidR="00E33465" w:rsidRPr="002D37D9" w:rsidRDefault="00E33465" w:rsidP="00E33465">
            <w:pPr>
              <w:jc w:val="both"/>
              <w:rPr>
                <w:rFonts w:ascii="Calibri" w:eastAsia="Times New Roman" w:hAnsi="Calibri" w:cs="Times New Roman"/>
                <w:color w:val="FFFFFF"/>
                <w:szCs w:val="22"/>
              </w:rPr>
            </w:pPr>
            <w:r w:rsidRPr="002D37D9">
              <w:rPr>
                <w:rFonts w:ascii="Calibri" w:eastAsia="Times New Roman" w:hAnsi="Calibri" w:cs="Times New Roman"/>
                <w:color w:val="FFFFFF"/>
                <w:szCs w:val="22"/>
              </w:rPr>
              <w:t> </w:t>
            </w:r>
          </w:p>
        </w:tc>
        <w:tc>
          <w:tcPr>
            <w:tcW w:w="276" w:type="dxa"/>
            <w:vMerge w:val="restart"/>
            <w:tcBorders>
              <w:top w:val="nil"/>
              <w:left w:val="single" w:sz="8" w:space="0" w:color="auto"/>
              <w:bottom w:val="single" w:sz="8" w:space="0" w:color="000000"/>
              <w:right w:val="single" w:sz="8" w:space="0" w:color="auto"/>
            </w:tcBorders>
            <w:shd w:val="clear" w:color="auto" w:fill="auto"/>
            <w:vAlign w:val="center"/>
            <w:hideMark/>
          </w:tcPr>
          <w:p w14:paraId="36A55183" w14:textId="77777777" w:rsidR="00E33465" w:rsidRPr="002D37D9" w:rsidRDefault="00E33465" w:rsidP="00E33465">
            <w:pPr>
              <w:jc w:val="both"/>
              <w:rPr>
                <w:rFonts w:ascii="Calibri" w:eastAsia="Times New Roman" w:hAnsi="Calibri" w:cs="Times New Roman"/>
                <w:color w:val="FFFFFF"/>
                <w:szCs w:val="22"/>
              </w:rPr>
            </w:pPr>
            <w:r w:rsidRPr="002D37D9">
              <w:rPr>
                <w:rFonts w:ascii="Calibri" w:eastAsia="Times New Roman" w:hAnsi="Calibri" w:cs="Times New Roman"/>
                <w:color w:val="FFFFFF"/>
                <w:szCs w:val="22"/>
              </w:rPr>
              <w:t> </w:t>
            </w:r>
          </w:p>
        </w:tc>
        <w:tc>
          <w:tcPr>
            <w:tcW w:w="276" w:type="dxa"/>
            <w:vMerge w:val="restart"/>
            <w:tcBorders>
              <w:top w:val="nil"/>
              <w:left w:val="single" w:sz="8" w:space="0" w:color="auto"/>
              <w:bottom w:val="single" w:sz="8" w:space="0" w:color="000000"/>
              <w:right w:val="single" w:sz="8" w:space="0" w:color="auto"/>
            </w:tcBorders>
            <w:shd w:val="clear" w:color="auto" w:fill="auto"/>
            <w:vAlign w:val="center"/>
            <w:hideMark/>
          </w:tcPr>
          <w:p w14:paraId="7F34E0EF" w14:textId="77777777" w:rsidR="00E33465" w:rsidRPr="002D37D9" w:rsidRDefault="00E33465" w:rsidP="00E33465">
            <w:pPr>
              <w:jc w:val="both"/>
              <w:rPr>
                <w:rFonts w:ascii="Calibri" w:eastAsia="Times New Roman" w:hAnsi="Calibri" w:cs="Times New Roman"/>
                <w:color w:val="FFFFFF"/>
                <w:szCs w:val="22"/>
              </w:rPr>
            </w:pPr>
            <w:r w:rsidRPr="002D37D9">
              <w:rPr>
                <w:rFonts w:ascii="Calibri" w:eastAsia="Times New Roman" w:hAnsi="Calibri" w:cs="Times New Roman"/>
                <w:color w:val="FFFFFF"/>
                <w:szCs w:val="22"/>
              </w:rPr>
              <w:t> </w:t>
            </w:r>
          </w:p>
        </w:tc>
        <w:tc>
          <w:tcPr>
            <w:tcW w:w="276" w:type="dxa"/>
            <w:vMerge w:val="restart"/>
            <w:tcBorders>
              <w:top w:val="nil"/>
              <w:left w:val="single" w:sz="8" w:space="0" w:color="auto"/>
              <w:bottom w:val="single" w:sz="8" w:space="0" w:color="000000"/>
              <w:right w:val="single" w:sz="8" w:space="0" w:color="auto"/>
            </w:tcBorders>
            <w:shd w:val="clear" w:color="auto" w:fill="auto"/>
            <w:vAlign w:val="center"/>
            <w:hideMark/>
          </w:tcPr>
          <w:p w14:paraId="2AA62291" w14:textId="77777777" w:rsidR="00E33465" w:rsidRPr="002D37D9" w:rsidRDefault="00E33465" w:rsidP="00E33465">
            <w:pPr>
              <w:jc w:val="both"/>
              <w:rPr>
                <w:rFonts w:ascii="Calibri" w:eastAsia="Times New Roman" w:hAnsi="Calibri" w:cs="Times New Roman"/>
                <w:color w:val="FFFFFF"/>
                <w:szCs w:val="22"/>
              </w:rPr>
            </w:pPr>
            <w:r w:rsidRPr="002D37D9">
              <w:rPr>
                <w:rFonts w:ascii="Calibri" w:eastAsia="Times New Roman" w:hAnsi="Calibri" w:cs="Times New Roman"/>
                <w:color w:val="FFFFFF"/>
                <w:szCs w:val="22"/>
              </w:rPr>
              <w:t> </w:t>
            </w:r>
          </w:p>
        </w:tc>
      </w:tr>
      <w:tr w:rsidR="00E33465" w:rsidRPr="009938F2" w14:paraId="680D2F0B" w14:textId="77777777" w:rsidTr="00DA7D10">
        <w:trPr>
          <w:trHeight w:val="195"/>
        </w:trPr>
        <w:tc>
          <w:tcPr>
            <w:tcW w:w="4350" w:type="dxa"/>
            <w:vMerge/>
            <w:tcBorders>
              <w:top w:val="nil"/>
              <w:left w:val="single" w:sz="8" w:space="0" w:color="auto"/>
              <w:bottom w:val="single" w:sz="8" w:space="0" w:color="000000"/>
              <w:right w:val="single" w:sz="8" w:space="0" w:color="auto"/>
            </w:tcBorders>
            <w:vAlign w:val="center"/>
            <w:hideMark/>
          </w:tcPr>
          <w:p w14:paraId="18AC2137" w14:textId="77777777" w:rsidR="00E33465" w:rsidRPr="009938F2" w:rsidRDefault="00E33465" w:rsidP="00E33465">
            <w:pPr>
              <w:rPr>
                <w:rFonts w:ascii="Calibri" w:eastAsia="Times New Roman" w:hAnsi="Calibri" w:cs="Times New Roman"/>
                <w:sz w:val="16"/>
                <w:szCs w:val="16"/>
              </w:rPr>
            </w:pPr>
          </w:p>
        </w:tc>
        <w:tc>
          <w:tcPr>
            <w:tcW w:w="276" w:type="dxa"/>
            <w:vMerge/>
            <w:tcBorders>
              <w:top w:val="nil"/>
              <w:left w:val="single" w:sz="8" w:space="0" w:color="auto"/>
              <w:bottom w:val="single" w:sz="8" w:space="0" w:color="000000"/>
              <w:right w:val="single" w:sz="8" w:space="0" w:color="auto"/>
            </w:tcBorders>
            <w:vAlign w:val="center"/>
            <w:hideMark/>
          </w:tcPr>
          <w:p w14:paraId="1E830563" w14:textId="77777777" w:rsidR="00E33465" w:rsidRPr="002D37D9" w:rsidRDefault="00E33465" w:rsidP="00E33465">
            <w:pPr>
              <w:rPr>
                <w:rFonts w:ascii="Calibri" w:eastAsia="Times New Roman" w:hAnsi="Calibri" w:cs="Times New Roman"/>
                <w:szCs w:val="22"/>
              </w:rPr>
            </w:pPr>
          </w:p>
        </w:tc>
        <w:tc>
          <w:tcPr>
            <w:tcW w:w="276" w:type="dxa"/>
            <w:vMerge/>
            <w:tcBorders>
              <w:top w:val="nil"/>
              <w:left w:val="single" w:sz="8" w:space="0" w:color="auto"/>
              <w:bottom w:val="single" w:sz="8" w:space="0" w:color="000000"/>
              <w:right w:val="single" w:sz="8" w:space="0" w:color="auto"/>
            </w:tcBorders>
            <w:shd w:val="clear" w:color="auto" w:fill="auto"/>
            <w:vAlign w:val="center"/>
            <w:hideMark/>
          </w:tcPr>
          <w:p w14:paraId="2372689B" w14:textId="77777777" w:rsidR="00E33465" w:rsidRPr="002D37D9" w:rsidRDefault="00E33465" w:rsidP="00E33465">
            <w:pPr>
              <w:rPr>
                <w:rFonts w:ascii="Calibri" w:eastAsia="Times New Roman" w:hAnsi="Calibri" w:cs="Times New Roman"/>
                <w:color w:val="FFFFFF"/>
                <w:szCs w:val="22"/>
              </w:rPr>
            </w:pPr>
          </w:p>
        </w:tc>
        <w:tc>
          <w:tcPr>
            <w:tcW w:w="276" w:type="dxa"/>
            <w:vMerge/>
            <w:tcBorders>
              <w:top w:val="nil"/>
              <w:left w:val="single" w:sz="8" w:space="0" w:color="auto"/>
              <w:bottom w:val="single" w:sz="8" w:space="0" w:color="000000"/>
              <w:right w:val="single" w:sz="8" w:space="0" w:color="auto"/>
            </w:tcBorders>
            <w:shd w:val="clear" w:color="auto" w:fill="auto"/>
            <w:vAlign w:val="center"/>
            <w:hideMark/>
          </w:tcPr>
          <w:p w14:paraId="7723BA47" w14:textId="77777777" w:rsidR="00E33465" w:rsidRPr="002D37D9" w:rsidRDefault="00E33465" w:rsidP="00E33465">
            <w:pPr>
              <w:rPr>
                <w:rFonts w:ascii="Calibri" w:eastAsia="Times New Roman" w:hAnsi="Calibri" w:cs="Times New Roman"/>
                <w:color w:val="FFFFFF"/>
                <w:szCs w:val="22"/>
              </w:rPr>
            </w:pPr>
          </w:p>
        </w:tc>
        <w:tc>
          <w:tcPr>
            <w:tcW w:w="276" w:type="dxa"/>
            <w:vMerge/>
            <w:tcBorders>
              <w:top w:val="single" w:sz="8" w:space="0" w:color="000000"/>
              <w:left w:val="single" w:sz="8" w:space="0" w:color="auto"/>
              <w:bottom w:val="single" w:sz="8" w:space="0" w:color="000000"/>
              <w:right w:val="single" w:sz="8" w:space="0" w:color="auto"/>
            </w:tcBorders>
            <w:shd w:val="clear" w:color="auto" w:fill="99CCFF"/>
            <w:vAlign w:val="center"/>
            <w:hideMark/>
          </w:tcPr>
          <w:p w14:paraId="30AE29EF" w14:textId="77777777" w:rsidR="00E33465" w:rsidRPr="002D37D9" w:rsidRDefault="00E33465" w:rsidP="00E33465">
            <w:pPr>
              <w:rPr>
                <w:rFonts w:ascii="Calibri" w:eastAsia="Times New Roman" w:hAnsi="Calibri" w:cs="Times New Roman"/>
                <w:color w:val="FFFFFF"/>
                <w:szCs w:val="22"/>
              </w:rPr>
            </w:pPr>
          </w:p>
        </w:tc>
        <w:tc>
          <w:tcPr>
            <w:tcW w:w="276" w:type="dxa"/>
            <w:vMerge/>
            <w:tcBorders>
              <w:top w:val="nil"/>
              <w:left w:val="single" w:sz="8" w:space="0" w:color="auto"/>
              <w:bottom w:val="single" w:sz="8" w:space="0" w:color="000000"/>
              <w:right w:val="single" w:sz="8" w:space="0" w:color="auto"/>
            </w:tcBorders>
            <w:vAlign w:val="center"/>
            <w:hideMark/>
          </w:tcPr>
          <w:p w14:paraId="248B7E48" w14:textId="77777777" w:rsidR="00E33465" w:rsidRPr="002D37D9" w:rsidRDefault="00E33465" w:rsidP="00E33465">
            <w:pPr>
              <w:rPr>
                <w:rFonts w:ascii="Calibri" w:eastAsia="Times New Roman" w:hAnsi="Calibri" w:cs="Times New Roman"/>
                <w:color w:val="FFFFFF"/>
                <w:szCs w:val="22"/>
              </w:rPr>
            </w:pPr>
          </w:p>
        </w:tc>
        <w:tc>
          <w:tcPr>
            <w:tcW w:w="276" w:type="dxa"/>
            <w:vMerge/>
            <w:tcBorders>
              <w:top w:val="nil"/>
              <w:left w:val="single" w:sz="8" w:space="0" w:color="auto"/>
              <w:bottom w:val="single" w:sz="8" w:space="0" w:color="000000"/>
              <w:right w:val="single" w:sz="8" w:space="0" w:color="auto"/>
            </w:tcBorders>
            <w:vAlign w:val="center"/>
            <w:hideMark/>
          </w:tcPr>
          <w:p w14:paraId="16785C70" w14:textId="77777777" w:rsidR="00E33465" w:rsidRPr="002D37D9" w:rsidRDefault="00E33465" w:rsidP="00E33465">
            <w:pPr>
              <w:rPr>
                <w:rFonts w:ascii="Calibri" w:eastAsia="Times New Roman" w:hAnsi="Calibri" w:cs="Times New Roman"/>
                <w:color w:val="FFFFFF"/>
                <w:szCs w:val="22"/>
              </w:rPr>
            </w:pPr>
          </w:p>
        </w:tc>
        <w:tc>
          <w:tcPr>
            <w:tcW w:w="276" w:type="dxa"/>
            <w:vMerge/>
            <w:tcBorders>
              <w:top w:val="nil"/>
              <w:left w:val="single" w:sz="8" w:space="0" w:color="auto"/>
              <w:bottom w:val="single" w:sz="8" w:space="0" w:color="000000"/>
              <w:right w:val="single" w:sz="8" w:space="0" w:color="auto"/>
            </w:tcBorders>
            <w:vAlign w:val="center"/>
            <w:hideMark/>
          </w:tcPr>
          <w:p w14:paraId="227EE4B8" w14:textId="77777777" w:rsidR="00E33465" w:rsidRPr="002D37D9" w:rsidRDefault="00E33465" w:rsidP="00E33465">
            <w:pPr>
              <w:rPr>
                <w:rFonts w:ascii="Calibri" w:eastAsia="Times New Roman" w:hAnsi="Calibri" w:cs="Times New Roman"/>
                <w:color w:val="FFFFFF"/>
                <w:szCs w:val="22"/>
              </w:rPr>
            </w:pPr>
          </w:p>
        </w:tc>
        <w:tc>
          <w:tcPr>
            <w:tcW w:w="276" w:type="dxa"/>
            <w:vMerge/>
            <w:tcBorders>
              <w:top w:val="nil"/>
              <w:left w:val="single" w:sz="8" w:space="0" w:color="auto"/>
              <w:bottom w:val="single" w:sz="8" w:space="0" w:color="000000"/>
              <w:right w:val="single" w:sz="8" w:space="0" w:color="auto"/>
            </w:tcBorders>
            <w:vAlign w:val="center"/>
            <w:hideMark/>
          </w:tcPr>
          <w:p w14:paraId="79192AE0" w14:textId="77777777" w:rsidR="00E33465" w:rsidRPr="002D37D9" w:rsidRDefault="00E33465" w:rsidP="00E33465">
            <w:pPr>
              <w:rPr>
                <w:rFonts w:ascii="Calibri" w:eastAsia="Times New Roman" w:hAnsi="Calibri" w:cs="Times New Roman"/>
                <w:color w:val="FFFFFF"/>
                <w:szCs w:val="22"/>
              </w:rPr>
            </w:pPr>
          </w:p>
        </w:tc>
        <w:tc>
          <w:tcPr>
            <w:tcW w:w="276" w:type="dxa"/>
            <w:vMerge/>
            <w:tcBorders>
              <w:top w:val="nil"/>
              <w:left w:val="single" w:sz="8" w:space="0" w:color="auto"/>
              <w:bottom w:val="single" w:sz="8" w:space="0" w:color="000000"/>
              <w:right w:val="single" w:sz="8" w:space="0" w:color="auto"/>
            </w:tcBorders>
            <w:vAlign w:val="center"/>
            <w:hideMark/>
          </w:tcPr>
          <w:p w14:paraId="558ED0E1" w14:textId="77777777" w:rsidR="00E33465" w:rsidRPr="002D37D9" w:rsidRDefault="00E33465" w:rsidP="00E33465">
            <w:pPr>
              <w:rPr>
                <w:rFonts w:ascii="Calibri" w:eastAsia="Times New Roman" w:hAnsi="Calibri" w:cs="Times New Roman"/>
                <w:color w:val="FFFFFF"/>
                <w:szCs w:val="22"/>
              </w:rPr>
            </w:pPr>
          </w:p>
        </w:tc>
        <w:tc>
          <w:tcPr>
            <w:tcW w:w="269" w:type="dxa"/>
            <w:vMerge/>
            <w:tcBorders>
              <w:top w:val="nil"/>
              <w:left w:val="single" w:sz="8" w:space="0" w:color="auto"/>
              <w:bottom w:val="single" w:sz="8" w:space="0" w:color="000000"/>
              <w:right w:val="single" w:sz="8" w:space="0" w:color="auto"/>
            </w:tcBorders>
            <w:vAlign w:val="center"/>
            <w:hideMark/>
          </w:tcPr>
          <w:p w14:paraId="62F02B2B" w14:textId="77777777" w:rsidR="00E33465" w:rsidRPr="002D37D9" w:rsidRDefault="00E33465" w:rsidP="00E33465">
            <w:pPr>
              <w:rPr>
                <w:rFonts w:ascii="Calibri" w:eastAsia="Times New Roman" w:hAnsi="Calibri" w:cs="Times New Roman"/>
                <w:color w:val="FFFFFF"/>
                <w:szCs w:val="22"/>
              </w:rPr>
            </w:pPr>
          </w:p>
        </w:tc>
        <w:tc>
          <w:tcPr>
            <w:tcW w:w="283" w:type="dxa"/>
            <w:vMerge/>
            <w:tcBorders>
              <w:top w:val="nil"/>
              <w:left w:val="single" w:sz="8" w:space="0" w:color="auto"/>
              <w:bottom w:val="single" w:sz="8" w:space="0" w:color="000000"/>
              <w:right w:val="single" w:sz="8" w:space="0" w:color="auto"/>
            </w:tcBorders>
            <w:vAlign w:val="center"/>
            <w:hideMark/>
          </w:tcPr>
          <w:p w14:paraId="32B4EBE3" w14:textId="77777777" w:rsidR="00E33465" w:rsidRPr="002D37D9" w:rsidRDefault="00E33465" w:rsidP="00E33465">
            <w:pPr>
              <w:rPr>
                <w:rFonts w:ascii="Calibri" w:eastAsia="Times New Roman" w:hAnsi="Calibri" w:cs="Times New Roman"/>
                <w:color w:val="FFFFFF"/>
                <w:szCs w:val="22"/>
              </w:rPr>
            </w:pPr>
          </w:p>
        </w:tc>
        <w:tc>
          <w:tcPr>
            <w:tcW w:w="276" w:type="dxa"/>
            <w:vMerge/>
            <w:tcBorders>
              <w:top w:val="nil"/>
              <w:left w:val="single" w:sz="8" w:space="0" w:color="auto"/>
              <w:bottom w:val="single" w:sz="8" w:space="0" w:color="000000"/>
              <w:right w:val="single" w:sz="8" w:space="0" w:color="auto"/>
            </w:tcBorders>
            <w:vAlign w:val="center"/>
            <w:hideMark/>
          </w:tcPr>
          <w:p w14:paraId="61CA2015" w14:textId="77777777" w:rsidR="00E33465" w:rsidRPr="002D37D9" w:rsidRDefault="00E33465" w:rsidP="00E33465">
            <w:pPr>
              <w:rPr>
                <w:rFonts w:ascii="Calibri" w:eastAsia="Times New Roman" w:hAnsi="Calibri" w:cs="Times New Roman"/>
                <w:color w:val="FFFFFF"/>
                <w:szCs w:val="22"/>
              </w:rPr>
            </w:pPr>
          </w:p>
        </w:tc>
        <w:tc>
          <w:tcPr>
            <w:tcW w:w="276" w:type="dxa"/>
            <w:vMerge/>
            <w:tcBorders>
              <w:top w:val="nil"/>
              <w:left w:val="single" w:sz="8" w:space="0" w:color="auto"/>
              <w:bottom w:val="single" w:sz="8" w:space="0" w:color="000000"/>
              <w:right w:val="single" w:sz="8" w:space="0" w:color="auto"/>
            </w:tcBorders>
            <w:vAlign w:val="center"/>
            <w:hideMark/>
          </w:tcPr>
          <w:p w14:paraId="223D9D72" w14:textId="77777777" w:rsidR="00E33465" w:rsidRPr="002D37D9" w:rsidRDefault="00E33465" w:rsidP="00E33465">
            <w:pPr>
              <w:rPr>
                <w:rFonts w:ascii="Calibri" w:eastAsia="Times New Roman" w:hAnsi="Calibri" w:cs="Times New Roman"/>
                <w:color w:val="FFFFFF"/>
                <w:szCs w:val="22"/>
              </w:rPr>
            </w:pPr>
          </w:p>
        </w:tc>
        <w:tc>
          <w:tcPr>
            <w:tcW w:w="276" w:type="dxa"/>
            <w:vMerge/>
            <w:tcBorders>
              <w:top w:val="nil"/>
              <w:left w:val="single" w:sz="8" w:space="0" w:color="auto"/>
              <w:bottom w:val="single" w:sz="8" w:space="0" w:color="000000"/>
              <w:right w:val="single" w:sz="8" w:space="0" w:color="auto"/>
            </w:tcBorders>
            <w:vAlign w:val="center"/>
            <w:hideMark/>
          </w:tcPr>
          <w:p w14:paraId="30CDF3C2" w14:textId="77777777" w:rsidR="00E33465" w:rsidRPr="002D37D9" w:rsidRDefault="00E33465" w:rsidP="00E33465">
            <w:pPr>
              <w:rPr>
                <w:rFonts w:ascii="Calibri" w:eastAsia="Times New Roman" w:hAnsi="Calibri" w:cs="Times New Roman"/>
                <w:color w:val="FFFFFF"/>
                <w:szCs w:val="22"/>
              </w:rPr>
            </w:pPr>
          </w:p>
        </w:tc>
      </w:tr>
      <w:tr w:rsidR="00E33465" w:rsidRPr="009938F2" w14:paraId="2A9AF52B" w14:textId="77777777" w:rsidTr="00DA7D10">
        <w:trPr>
          <w:trHeight w:val="148"/>
        </w:trPr>
        <w:tc>
          <w:tcPr>
            <w:tcW w:w="4350" w:type="dxa"/>
            <w:tcBorders>
              <w:top w:val="nil"/>
              <w:left w:val="single" w:sz="8" w:space="0" w:color="auto"/>
              <w:bottom w:val="single" w:sz="8" w:space="0" w:color="auto"/>
              <w:right w:val="single" w:sz="8" w:space="0" w:color="auto"/>
            </w:tcBorders>
            <w:shd w:val="clear" w:color="auto" w:fill="auto"/>
            <w:vAlign w:val="center"/>
          </w:tcPr>
          <w:p w14:paraId="64DA0897" w14:textId="53BA770A" w:rsidR="00E33465" w:rsidRPr="00F03904" w:rsidRDefault="00E33465" w:rsidP="00E33465">
            <w:pPr>
              <w:jc w:val="both"/>
              <w:rPr>
                <w:rFonts w:ascii="Calibri" w:eastAsia="Times New Roman" w:hAnsi="Calibri" w:cs="Times New Roman"/>
                <w:color w:val="000000"/>
                <w:sz w:val="16"/>
                <w:szCs w:val="16"/>
              </w:rPr>
            </w:pPr>
            <w:r w:rsidRPr="00F03904">
              <w:rPr>
                <w:rFonts w:ascii="Calibri" w:eastAsia="Times New Roman" w:hAnsi="Calibri" w:cs="Times New Roman"/>
                <w:color w:val="000000"/>
                <w:sz w:val="16"/>
                <w:szCs w:val="16"/>
              </w:rPr>
              <w:t xml:space="preserve">Implémentation petits projets </w:t>
            </w:r>
            <w:r w:rsidR="00F03904">
              <w:rPr>
                <w:rFonts w:ascii="Calibri" w:eastAsia="Times New Roman" w:hAnsi="Calibri" w:cs="Times New Roman"/>
                <w:color w:val="000000"/>
                <w:sz w:val="16"/>
                <w:szCs w:val="16"/>
              </w:rPr>
              <w:t>(</w:t>
            </w:r>
            <w:r w:rsidRPr="00F03904">
              <w:rPr>
                <w:rFonts w:ascii="Calibri" w:eastAsia="Times New Roman" w:hAnsi="Calibri" w:cs="Times New Roman"/>
                <w:color w:val="000000"/>
                <w:sz w:val="16"/>
                <w:szCs w:val="16"/>
              </w:rPr>
              <w:t xml:space="preserve">OSI </w:t>
            </w:r>
            <w:proofErr w:type="gramStart"/>
            <w:r w:rsidRPr="00F03904">
              <w:rPr>
                <w:rFonts w:ascii="Calibri" w:eastAsia="Times New Roman" w:hAnsi="Calibri" w:cs="Times New Roman"/>
                <w:color w:val="000000"/>
                <w:sz w:val="16"/>
                <w:szCs w:val="16"/>
              </w:rPr>
              <w:t xml:space="preserve">1.6 </w:t>
            </w:r>
            <w:r w:rsidR="00F03904">
              <w:rPr>
                <w:rFonts w:ascii="Calibri" w:eastAsia="Times New Roman" w:hAnsi="Calibri" w:cs="Times New Roman"/>
                <w:color w:val="000000"/>
                <w:sz w:val="16"/>
                <w:szCs w:val="16"/>
              </w:rPr>
              <w:t>)</w:t>
            </w:r>
            <w:proofErr w:type="gramEnd"/>
          </w:p>
        </w:tc>
        <w:tc>
          <w:tcPr>
            <w:tcW w:w="276" w:type="dxa"/>
            <w:tcBorders>
              <w:top w:val="nil"/>
              <w:left w:val="nil"/>
              <w:bottom w:val="single" w:sz="8" w:space="0" w:color="auto"/>
              <w:right w:val="single" w:sz="8" w:space="0" w:color="auto"/>
            </w:tcBorders>
            <w:shd w:val="clear" w:color="auto" w:fill="auto"/>
            <w:vAlign w:val="center"/>
          </w:tcPr>
          <w:p w14:paraId="1B887488" w14:textId="77777777" w:rsidR="00E33465" w:rsidRPr="009938F2" w:rsidRDefault="00E33465" w:rsidP="00E33465">
            <w:pPr>
              <w:jc w:val="both"/>
              <w:rPr>
                <w:rFonts w:ascii="Calibri" w:eastAsia="Times New Roman" w:hAnsi="Calibri" w:cs="Times New Roman"/>
                <w:color w:val="000000"/>
                <w:szCs w:val="22"/>
                <w:lang w:val="it-IT"/>
              </w:rPr>
            </w:pPr>
          </w:p>
        </w:tc>
        <w:tc>
          <w:tcPr>
            <w:tcW w:w="276" w:type="dxa"/>
            <w:tcBorders>
              <w:top w:val="nil"/>
              <w:left w:val="nil"/>
              <w:bottom w:val="single" w:sz="8" w:space="0" w:color="auto"/>
              <w:right w:val="single" w:sz="8" w:space="0" w:color="auto"/>
            </w:tcBorders>
            <w:shd w:val="clear" w:color="auto" w:fill="auto"/>
            <w:vAlign w:val="center"/>
          </w:tcPr>
          <w:p w14:paraId="5CEB398E" w14:textId="77777777" w:rsidR="00E33465" w:rsidRPr="009938F2" w:rsidRDefault="00E33465" w:rsidP="00E33465">
            <w:pPr>
              <w:jc w:val="both"/>
              <w:rPr>
                <w:rFonts w:ascii="Calibri" w:eastAsia="Times New Roman" w:hAnsi="Calibri" w:cs="Times New Roman"/>
                <w:color w:val="000000"/>
                <w:szCs w:val="22"/>
                <w:lang w:val="it-IT"/>
              </w:rPr>
            </w:pPr>
          </w:p>
        </w:tc>
        <w:tc>
          <w:tcPr>
            <w:tcW w:w="276" w:type="dxa"/>
            <w:tcBorders>
              <w:top w:val="nil"/>
              <w:left w:val="nil"/>
              <w:bottom w:val="single" w:sz="8" w:space="0" w:color="auto"/>
              <w:right w:val="single" w:sz="8" w:space="0" w:color="auto"/>
            </w:tcBorders>
            <w:shd w:val="clear" w:color="auto" w:fill="auto"/>
            <w:vAlign w:val="center"/>
          </w:tcPr>
          <w:p w14:paraId="470BE69C" w14:textId="77777777" w:rsidR="00E33465" w:rsidRPr="009938F2" w:rsidRDefault="00E33465" w:rsidP="00E33465">
            <w:pPr>
              <w:jc w:val="both"/>
              <w:rPr>
                <w:rFonts w:ascii="Calibri" w:eastAsia="Times New Roman" w:hAnsi="Calibri" w:cs="Times New Roman"/>
                <w:color w:val="000000"/>
                <w:szCs w:val="22"/>
                <w:lang w:val="it-IT"/>
              </w:rPr>
            </w:pPr>
          </w:p>
        </w:tc>
        <w:tc>
          <w:tcPr>
            <w:tcW w:w="276" w:type="dxa"/>
            <w:tcBorders>
              <w:top w:val="nil"/>
              <w:left w:val="nil"/>
              <w:bottom w:val="single" w:sz="8" w:space="0" w:color="auto"/>
              <w:right w:val="single" w:sz="8" w:space="0" w:color="auto"/>
            </w:tcBorders>
            <w:shd w:val="clear" w:color="auto" w:fill="auto"/>
            <w:vAlign w:val="center"/>
          </w:tcPr>
          <w:p w14:paraId="2E9AC956" w14:textId="77777777" w:rsidR="00E33465" w:rsidRPr="009938F2" w:rsidRDefault="00E33465" w:rsidP="00E33465">
            <w:pPr>
              <w:jc w:val="both"/>
              <w:rPr>
                <w:rFonts w:ascii="Calibri" w:eastAsia="Times New Roman" w:hAnsi="Calibri" w:cs="Times New Roman"/>
                <w:color w:val="000000"/>
                <w:szCs w:val="22"/>
                <w:lang w:val="it-IT"/>
              </w:rPr>
            </w:pPr>
          </w:p>
        </w:tc>
        <w:tc>
          <w:tcPr>
            <w:tcW w:w="276" w:type="dxa"/>
            <w:tcBorders>
              <w:top w:val="single" w:sz="8" w:space="0" w:color="000000"/>
              <w:left w:val="nil"/>
              <w:bottom w:val="single" w:sz="8" w:space="0" w:color="auto"/>
              <w:right w:val="single" w:sz="8" w:space="0" w:color="auto"/>
            </w:tcBorders>
            <w:shd w:val="clear" w:color="auto" w:fill="0000FF"/>
            <w:vAlign w:val="center"/>
          </w:tcPr>
          <w:p w14:paraId="032AB9D8" w14:textId="77777777" w:rsidR="00E33465" w:rsidRPr="009938F2" w:rsidRDefault="00E33465" w:rsidP="00E33465">
            <w:pPr>
              <w:jc w:val="both"/>
              <w:rPr>
                <w:rFonts w:ascii="Calibri" w:eastAsia="Times New Roman" w:hAnsi="Calibri" w:cs="Times New Roman"/>
                <w:color w:val="000000"/>
                <w:szCs w:val="22"/>
                <w:lang w:val="it-IT"/>
              </w:rPr>
            </w:pPr>
          </w:p>
        </w:tc>
        <w:tc>
          <w:tcPr>
            <w:tcW w:w="276" w:type="dxa"/>
            <w:tcBorders>
              <w:top w:val="single" w:sz="8" w:space="0" w:color="000000"/>
              <w:left w:val="nil"/>
              <w:bottom w:val="single" w:sz="8" w:space="0" w:color="auto"/>
              <w:right w:val="single" w:sz="8" w:space="0" w:color="auto"/>
            </w:tcBorders>
            <w:shd w:val="clear" w:color="auto" w:fill="auto"/>
            <w:vAlign w:val="center"/>
          </w:tcPr>
          <w:p w14:paraId="19283F87" w14:textId="77777777" w:rsidR="00E33465" w:rsidRPr="009938F2" w:rsidRDefault="00E33465" w:rsidP="00E33465">
            <w:pPr>
              <w:jc w:val="both"/>
              <w:rPr>
                <w:rFonts w:ascii="Calibri" w:eastAsia="Times New Roman" w:hAnsi="Calibri" w:cs="Times New Roman"/>
                <w:color w:val="000000"/>
                <w:szCs w:val="22"/>
                <w:lang w:val="it-IT"/>
              </w:rPr>
            </w:pPr>
          </w:p>
        </w:tc>
        <w:tc>
          <w:tcPr>
            <w:tcW w:w="276" w:type="dxa"/>
            <w:tcBorders>
              <w:top w:val="single" w:sz="8" w:space="0" w:color="000000"/>
              <w:left w:val="nil"/>
              <w:bottom w:val="single" w:sz="8" w:space="0" w:color="auto"/>
              <w:right w:val="single" w:sz="8" w:space="0" w:color="auto"/>
            </w:tcBorders>
            <w:shd w:val="clear" w:color="auto" w:fill="auto"/>
            <w:vAlign w:val="center"/>
          </w:tcPr>
          <w:p w14:paraId="3819F064" w14:textId="77777777" w:rsidR="00E33465" w:rsidRPr="009938F2" w:rsidRDefault="00E33465" w:rsidP="00E33465">
            <w:pPr>
              <w:jc w:val="both"/>
              <w:rPr>
                <w:rFonts w:ascii="Calibri" w:eastAsia="Times New Roman" w:hAnsi="Calibri" w:cs="Times New Roman"/>
                <w:color w:val="000000"/>
                <w:szCs w:val="22"/>
                <w:lang w:val="it-IT"/>
              </w:rPr>
            </w:pPr>
          </w:p>
        </w:tc>
        <w:tc>
          <w:tcPr>
            <w:tcW w:w="276" w:type="dxa"/>
            <w:tcBorders>
              <w:top w:val="single" w:sz="8" w:space="0" w:color="000000"/>
              <w:left w:val="nil"/>
              <w:bottom w:val="single" w:sz="8" w:space="0" w:color="auto"/>
              <w:right w:val="single" w:sz="8" w:space="0" w:color="auto"/>
            </w:tcBorders>
            <w:shd w:val="clear" w:color="auto" w:fill="auto"/>
            <w:vAlign w:val="center"/>
          </w:tcPr>
          <w:p w14:paraId="56280EB5" w14:textId="77777777" w:rsidR="00E33465" w:rsidRPr="009938F2" w:rsidRDefault="00E33465" w:rsidP="00E33465">
            <w:pPr>
              <w:jc w:val="both"/>
              <w:rPr>
                <w:rFonts w:ascii="Calibri" w:eastAsia="Times New Roman" w:hAnsi="Calibri" w:cs="Times New Roman"/>
                <w:color w:val="000000"/>
                <w:szCs w:val="22"/>
                <w:lang w:val="it-IT"/>
              </w:rPr>
            </w:pPr>
          </w:p>
        </w:tc>
        <w:tc>
          <w:tcPr>
            <w:tcW w:w="276" w:type="dxa"/>
            <w:tcBorders>
              <w:top w:val="single" w:sz="8" w:space="0" w:color="000000"/>
              <w:left w:val="nil"/>
              <w:bottom w:val="single" w:sz="8" w:space="0" w:color="auto"/>
              <w:right w:val="single" w:sz="8" w:space="0" w:color="auto"/>
            </w:tcBorders>
            <w:shd w:val="clear" w:color="auto" w:fill="auto"/>
            <w:vAlign w:val="center"/>
          </w:tcPr>
          <w:p w14:paraId="59C9228C" w14:textId="77777777" w:rsidR="00E33465" w:rsidRPr="009938F2" w:rsidRDefault="00E33465" w:rsidP="00E33465">
            <w:pPr>
              <w:jc w:val="both"/>
              <w:rPr>
                <w:rFonts w:ascii="Calibri" w:eastAsia="Times New Roman" w:hAnsi="Calibri" w:cs="Times New Roman"/>
                <w:color w:val="000000"/>
                <w:szCs w:val="22"/>
                <w:lang w:val="it-IT"/>
              </w:rPr>
            </w:pPr>
          </w:p>
        </w:tc>
        <w:tc>
          <w:tcPr>
            <w:tcW w:w="269" w:type="dxa"/>
            <w:tcBorders>
              <w:top w:val="single" w:sz="8" w:space="0" w:color="000000"/>
              <w:left w:val="nil"/>
              <w:bottom w:val="single" w:sz="8" w:space="0" w:color="auto"/>
              <w:right w:val="single" w:sz="8" w:space="0" w:color="auto"/>
            </w:tcBorders>
            <w:shd w:val="clear" w:color="auto" w:fill="auto"/>
            <w:vAlign w:val="center"/>
          </w:tcPr>
          <w:p w14:paraId="143F4B2D" w14:textId="77777777" w:rsidR="00E33465" w:rsidRPr="009938F2" w:rsidRDefault="00E33465" w:rsidP="00E33465">
            <w:pPr>
              <w:jc w:val="both"/>
              <w:rPr>
                <w:rFonts w:ascii="Calibri" w:eastAsia="Times New Roman" w:hAnsi="Calibri" w:cs="Times New Roman"/>
                <w:color w:val="000000"/>
                <w:szCs w:val="22"/>
                <w:lang w:val="it-IT"/>
              </w:rPr>
            </w:pPr>
          </w:p>
        </w:tc>
        <w:tc>
          <w:tcPr>
            <w:tcW w:w="283" w:type="dxa"/>
            <w:tcBorders>
              <w:top w:val="nil"/>
              <w:left w:val="nil"/>
              <w:bottom w:val="single" w:sz="8" w:space="0" w:color="auto"/>
              <w:right w:val="single" w:sz="8" w:space="0" w:color="auto"/>
            </w:tcBorders>
            <w:shd w:val="clear" w:color="auto" w:fill="auto"/>
            <w:vAlign w:val="center"/>
          </w:tcPr>
          <w:p w14:paraId="5B33A98E" w14:textId="77777777" w:rsidR="00E33465" w:rsidRPr="009938F2" w:rsidRDefault="00E33465" w:rsidP="00E33465">
            <w:pPr>
              <w:jc w:val="both"/>
              <w:rPr>
                <w:rFonts w:ascii="Calibri" w:eastAsia="Times New Roman" w:hAnsi="Calibri" w:cs="Times New Roman"/>
                <w:color w:val="000000"/>
                <w:szCs w:val="22"/>
                <w:lang w:val="it-IT"/>
              </w:rPr>
            </w:pPr>
          </w:p>
        </w:tc>
        <w:tc>
          <w:tcPr>
            <w:tcW w:w="276" w:type="dxa"/>
            <w:tcBorders>
              <w:top w:val="nil"/>
              <w:left w:val="nil"/>
              <w:bottom w:val="single" w:sz="8" w:space="0" w:color="auto"/>
              <w:right w:val="single" w:sz="8" w:space="0" w:color="auto"/>
            </w:tcBorders>
            <w:shd w:val="clear" w:color="auto" w:fill="auto"/>
            <w:vAlign w:val="center"/>
          </w:tcPr>
          <w:p w14:paraId="67FC8CDE" w14:textId="77777777" w:rsidR="00E33465" w:rsidRPr="009938F2" w:rsidRDefault="00E33465" w:rsidP="00E33465">
            <w:pPr>
              <w:jc w:val="both"/>
              <w:rPr>
                <w:rFonts w:ascii="Calibri" w:eastAsia="Times New Roman" w:hAnsi="Calibri" w:cs="Times New Roman"/>
                <w:color w:val="000000"/>
                <w:szCs w:val="22"/>
                <w:lang w:val="it-IT"/>
              </w:rPr>
            </w:pPr>
          </w:p>
        </w:tc>
        <w:tc>
          <w:tcPr>
            <w:tcW w:w="276" w:type="dxa"/>
            <w:tcBorders>
              <w:top w:val="nil"/>
              <w:left w:val="nil"/>
              <w:bottom w:val="single" w:sz="8" w:space="0" w:color="auto"/>
              <w:right w:val="single" w:sz="8" w:space="0" w:color="auto"/>
            </w:tcBorders>
            <w:shd w:val="clear" w:color="auto" w:fill="auto"/>
            <w:vAlign w:val="center"/>
          </w:tcPr>
          <w:p w14:paraId="5EB50A25" w14:textId="77777777" w:rsidR="00E33465" w:rsidRPr="009938F2" w:rsidRDefault="00E33465" w:rsidP="00E33465">
            <w:pPr>
              <w:jc w:val="both"/>
              <w:rPr>
                <w:rFonts w:ascii="Calibri" w:eastAsia="Times New Roman" w:hAnsi="Calibri" w:cs="Times New Roman"/>
                <w:color w:val="000000"/>
                <w:szCs w:val="22"/>
                <w:lang w:val="it-IT"/>
              </w:rPr>
            </w:pPr>
          </w:p>
        </w:tc>
        <w:tc>
          <w:tcPr>
            <w:tcW w:w="276" w:type="dxa"/>
            <w:tcBorders>
              <w:top w:val="nil"/>
              <w:left w:val="nil"/>
              <w:bottom w:val="single" w:sz="8" w:space="0" w:color="auto"/>
              <w:right w:val="single" w:sz="8" w:space="0" w:color="auto"/>
            </w:tcBorders>
            <w:shd w:val="clear" w:color="auto" w:fill="auto"/>
            <w:vAlign w:val="center"/>
          </w:tcPr>
          <w:p w14:paraId="6253240D" w14:textId="77777777" w:rsidR="00E33465" w:rsidRPr="009938F2" w:rsidRDefault="00E33465" w:rsidP="00E33465">
            <w:pPr>
              <w:jc w:val="both"/>
              <w:rPr>
                <w:rFonts w:ascii="Calibri" w:eastAsia="Times New Roman" w:hAnsi="Calibri" w:cs="Times New Roman"/>
                <w:color w:val="000000"/>
                <w:szCs w:val="22"/>
                <w:lang w:val="it-IT"/>
              </w:rPr>
            </w:pPr>
          </w:p>
        </w:tc>
      </w:tr>
      <w:tr w:rsidR="00E33465" w:rsidRPr="009938F2" w14:paraId="00823EC0" w14:textId="77777777" w:rsidTr="00BF654B">
        <w:trPr>
          <w:trHeight w:val="280"/>
        </w:trPr>
        <w:tc>
          <w:tcPr>
            <w:tcW w:w="4350" w:type="dxa"/>
            <w:tcBorders>
              <w:top w:val="nil"/>
              <w:left w:val="single" w:sz="8" w:space="0" w:color="auto"/>
              <w:bottom w:val="single" w:sz="8" w:space="0" w:color="auto"/>
              <w:right w:val="single" w:sz="8" w:space="0" w:color="auto"/>
            </w:tcBorders>
            <w:shd w:val="clear" w:color="auto" w:fill="auto"/>
            <w:vAlign w:val="center"/>
          </w:tcPr>
          <w:p w14:paraId="59C03E7A" w14:textId="136747BE" w:rsidR="00E33465" w:rsidRPr="009938F2" w:rsidRDefault="00F03904" w:rsidP="008E4CDA">
            <w:pPr>
              <w:jc w:val="both"/>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Lancement </w:t>
            </w:r>
            <w:r w:rsidRPr="009938F2">
              <w:rPr>
                <w:rFonts w:ascii="Calibri" w:eastAsia="Times New Roman" w:hAnsi="Calibri" w:cs="Times New Roman"/>
                <w:color w:val="000000"/>
                <w:sz w:val="16"/>
                <w:szCs w:val="16"/>
              </w:rPr>
              <w:t>projets</w:t>
            </w:r>
            <w:r>
              <w:rPr>
                <w:rFonts w:ascii="Calibri" w:eastAsia="Times New Roman" w:hAnsi="Calibri" w:cs="Times New Roman"/>
                <w:color w:val="000000"/>
                <w:sz w:val="16"/>
                <w:szCs w:val="16"/>
              </w:rPr>
              <w:t xml:space="preserve"> </w:t>
            </w:r>
            <w:r w:rsidRPr="009938F2">
              <w:rPr>
                <w:rFonts w:ascii="Calibri" w:eastAsia="Times New Roman" w:hAnsi="Calibri" w:cs="Times New Roman"/>
                <w:color w:val="000000"/>
                <w:sz w:val="16"/>
                <w:szCs w:val="16"/>
              </w:rPr>
              <w:t xml:space="preserve">appel </w:t>
            </w:r>
            <w:r>
              <w:rPr>
                <w:rFonts w:ascii="Calibri" w:eastAsia="Times New Roman" w:hAnsi="Calibri" w:cs="Times New Roman"/>
                <w:color w:val="000000"/>
                <w:sz w:val="16"/>
                <w:szCs w:val="16"/>
              </w:rPr>
              <w:t>projets standards</w:t>
            </w:r>
          </w:p>
        </w:tc>
        <w:tc>
          <w:tcPr>
            <w:tcW w:w="276" w:type="dxa"/>
            <w:tcBorders>
              <w:top w:val="nil"/>
              <w:left w:val="nil"/>
              <w:bottom w:val="single" w:sz="8" w:space="0" w:color="auto"/>
              <w:right w:val="single" w:sz="8" w:space="0" w:color="auto"/>
            </w:tcBorders>
            <w:shd w:val="clear" w:color="auto" w:fill="auto"/>
            <w:vAlign w:val="center"/>
          </w:tcPr>
          <w:p w14:paraId="3F29AFCD" w14:textId="77777777" w:rsidR="00E33465" w:rsidRPr="009938F2" w:rsidRDefault="00E33465" w:rsidP="00E33465">
            <w:pPr>
              <w:jc w:val="both"/>
              <w:rPr>
                <w:rFonts w:ascii="Calibri" w:eastAsia="Times New Roman" w:hAnsi="Calibri" w:cs="Times New Roman"/>
                <w:color w:val="000000"/>
                <w:szCs w:val="22"/>
                <w:lang w:val="it-IT"/>
              </w:rPr>
            </w:pPr>
          </w:p>
        </w:tc>
        <w:tc>
          <w:tcPr>
            <w:tcW w:w="276" w:type="dxa"/>
            <w:tcBorders>
              <w:top w:val="nil"/>
              <w:left w:val="nil"/>
              <w:bottom w:val="single" w:sz="8" w:space="0" w:color="auto"/>
              <w:right w:val="single" w:sz="8" w:space="0" w:color="auto"/>
            </w:tcBorders>
            <w:shd w:val="clear" w:color="auto" w:fill="auto"/>
            <w:vAlign w:val="center"/>
          </w:tcPr>
          <w:p w14:paraId="3D4A3160" w14:textId="77777777" w:rsidR="00E33465" w:rsidRPr="009938F2" w:rsidRDefault="00E33465" w:rsidP="00E33465">
            <w:pPr>
              <w:jc w:val="both"/>
              <w:rPr>
                <w:rFonts w:ascii="Calibri" w:eastAsia="Times New Roman" w:hAnsi="Calibri" w:cs="Times New Roman"/>
                <w:color w:val="000000"/>
                <w:szCs w:val="22"/>
                <w:lang w:val="it-IT"/>
              </w:rPr>
            </w:pPr>
          </w:p>
        </w:tc>
        <w:tc>
          <w:tcPr>
            <w:tcW w:w="276" w:type="dxa"/>
            <w:tcBorders>
              <w:top w:val="nil"/>
              <w:left w:val="nil"/>
              <w:bottom w:val="single" w:sz="8" w:space="0" w:color="auto"/>
              <w:right w:val="single" w:sz="8" w:space="0" w:color="auto"/>
            </w:tcBorders>
            <w:shd w:val="clear" w:color="auto" w:fill="auto"/>
            <w:vAlign w:val="center"/>
          </w:tcPr>
          <w:p w14:paraId="62550AE9" w14:textId="77777777" w:rsidR="00E33465" w:rsidRPr="009938F2" w:rsidRDefault="00E33465" w:rsidP="00E33465">
            <w:pPr>
              <w:jc w:val="both"/>
              <w:rPr>
                <w:rFonts w:ascii="Calibri" w:eastAsia="Times New Roman" w:hAnsi="Calibri" w:cs="Times New Roman"/>
                <w:color w:val="000000"/>
                <w:szCs w:val="22"/>
                <w:lang w:val="it-IT"/>
              </w:rPr>
            </w:pPr>
          </w:p>
        </w:tc>
        <w:tc>
          <w:tcPr>
            <w:tcW w:w="276" w:type="dxa"/>
            <w:tcBorders>
              <w:top w:val="single" w:sz="8" w:space="0" w:color="auto"/>
              <w:left w:val="nil"/>
              <w:bottom w:val="single" w:sz="8" w:space="0" w:color="auto"/>
              <w:right w:val="single" w:sz="8" w:space="0" w:color="auto"/>
            </w:tcBorders>
            <w:shd w:val="clear" w:color="000000" w:fill="auto"/>
            <w:vAlign w:val="center"/>
          </w:tcPr>
          <w:p w14:paraId="73908115" w14:textId="77777777" w:rsidR="00E33465" w:rsidRPr="009938F2" w:rsidRDefault="00E33465" w:rsidP="00E33465">
            <w:pPr>
              <w:jc w:val="both"/>
              <w:rPr>
                <w:rFonts w:ascii="Calibri" w:eastAsia="Times New Roman" w:hAnsi="Calibri" w:cs="Times New Roman"/>
                <w:color w:val="000000"/>
                <w:szCs w:val="22"/>
                <w:lang w:val="it-IT"/>
              </w:rPr>
            </w:pPr>
          </w:p>
        </w:tc>
        <w:tc>
          <w:tcPr>
            <w:tcW w:w="276" w:type="dxa"/>
            <w:tcBorders>
              <w:top w:val="single" w:sz="8" w:space="0" w:color="auto"/>
              <w:left w:val="nil"/>
              <w:bottom w:val="single" w:sz="8" w:space="0" w:color="auto"/>
              <w:right w:val="single" w:sz="8" w:space="0" w:color="auto"/>
            </w:tcBorders>
            <w:shd w:val="clear" w:color="auto" w:fill="00FF00"/>
            <w:vAlign w:val="center"/>
          </w:tcPr>
          <w:p w14:paraId="09B4E6D0" w14:textId="77777777" w:rsidR="00E33465" w:rsidRPr="009938F2" w:rsidRDefault="00E33465" w:rsidP="00E33465">
            <w:pPr>
              <w:jc w:val="both"/>
              <w:rPr>
                <w:rFonts w:ascii="Calibri" w:eastAsia="Times New Roman" w:hAnsi="Calibri" w:cs="Times New Roman"/>
                <w:color w:val="000000"/>
                <w:szCs w:val="22"/>
                <w:lang w:val="it-IT"/>
              </w:rPr>
            </w:pPr>
          </w:p>
        </w:tc>
        <w:tc>
          <w:tcPr>
            <w:tcW w:w="276" w:type="dxa"/>
            <w:tcBorders>
              <w:top w:val="single" w:sz="8" w:space="0" w:color="auto"/>
              <w:left w:val="nil"/>
              <w:bottom w:val="single" w:sz="8" w:space="0" w:color="auto"/>
              <w:right w:val="single" w:sz="8" w:space="0" w:color="auto"/>
            </w:tcBorders>
            <w:shd w:val="clear" w:color="auto" w:fill="auto"/>
            <w:vAlign w:val="center"/>
          </w:tcPr>
          <w:p w14:paraId="7C07677D" w14:textId="77777777" w:rsidR="00E33465" w:rsidRPr="009938F2" w:rsidRDefault="00E33465" w:rsidP="00E33465">
            <w:pPr>
              <w:jc w:val="both"/>
              <w:rPr>
                <w:rFonts w:ascii="Calibri" w:eastAsia="Times New Roman" w:hAnsi="Calibri" w:cs="Times New Roman"/>
                <w:color w:val="000000"/>
                <w:szCs w:val="22"/>
                <w:lang w:val="it-IT"/>
              </w:rPr>
            </w:pPr>
          </w:p>
        </w:tc>
        <w:tc>
          <w:tcPr>
            <w:tcW w:w="276" w:type="dxa"/>
            <w:tcBorders>
              <w:top w:val="single" w:sz="8" w:space="0" w:color="auto"/>
              <w:left w:val="nil"/>
              <w:bottom w:val="single" w:sz="8" w:space="0" w:color="auto"/>
              <w:right w:val="single" w:sz="8" w:space="0" w:color="auto"/>
            </w:tcBorders>
            <w:shd w:val="clear" w:color="auto" w:fill="auto"/>
            <w:vAlign w:val="center"/>
          </w:tcPr>
          <w:p w14:paraId="431A33E0" w14:textId="77777777" w:rsidR="00E33465" w:rsidRPr="009938F2" w:rsidRDefault="00E33465" w:rsidP="00E33465">
            <w:pPr>
              <w:jc w:val="both"/>
              <w:rPr>
                <w:rFonts w:ascii="Calibri" w:eastAsia="Times New Roman" w:hAnsi="Calibri" w:cs="Times New Roman"/>
                <w:color w:val="000000"/>
                <w:szCs w:val="22"/>
                <w:lang w:val="it-IT"/>
              </w:rPr>
            </w:pPr>
          </w:p>
        </w:tc>
        <w:tc>
          <w:tcPr>
            <w:tcW w:w="276" w:type="dxa"/>
            <w:tcBorders>
              <w:top w:val="single" w:sz="8" w:space="0" w:color="auto"/>
              <w:left w:val="nil"/>
              <w:bottom w:val="single" w:sz="8" w:space="0" w:color="auto"/>
              <w:right w:val="single" w:sz="8" w:space="0" w:color="auto"/>
            </w:tcBorders>
            <w:shd w:val="clear" w:color="auto" w:fill="auto"/>
            <w:vAlign w:val="center"/>
          </w:tcPr>
          <w:p w14:paraId="5F44EFD1" w14:textId="77777777" w:rsidR="00E33465" w:rsidRPr="009938F2" w:rsidRDefault="00E33465" w:rsidP="00E33465">
            <w:pPr>
              <w:jc w:val="both"/>
              <w:rPr>
                <w:rFonts w:ascii="Calibri" w:eastAsia="Times New Roman" w:hAnsi="Calibri" w:cs="Times New Roman"/>
                <w:color w:val="000000"/>
                <w:szCs w:val="22"/>
                <w:lang w:val="it-IT"/>
              </w:rPr>
            </w:pPr>
          </w:p>
        </w:tc>
        <w:tc>
          <w:tcPr>
            <w:tcW w:w="276" w:type="dxa"/>
            <w:tcBorders>
              <w:top w:val="single" w:sz="8" w:space="0" w:color="auto"/>
              <w:left w:val="nil"/>
              <w:bottom w:val="single" w:sz="8" w:space="0" w:color="auto"/>
              <w:right w:val="single" w:sz="8" w:space="0" w:color="auto"/>
            </w:tcBorders>
            <w:shd w:val="clear" w:color="auto" w:fill="auto"/>
            <w:vAlign w:val="center"/>
          </w:tcPr>
          <w:p w14:paraId="42FAF121" w14:textId="77777777" w:rsidR="00E33465" w:rsidRDefault="00E33465" w:rsidP="00E33465">
            <w:pPr>
              <w:jc w:val="both"/>
              <w:rPr>
                <w:rFonts w:ascii="Calibri" w:eastAsia="Times New Roman" w:hAnsi="Calibri" w:cs="Times New Roman"/>
                <w:color w:val="000000"/>
                <w:szCs w:val="22"/>
                <w:lang w:val="it-IT"/>
              </w:rPr>
            </w:pPr>
          </w:p>
          <w:p w14:paraId="72B0FDCA" w14:textId="77777777" w:rsidR="00397BE1" w:rsidRPr="009938F2" w:rsidRDefault="00397BE1" w:rsidP="00E33465">
            <w:pPr>
              <w:jc w:val="both"/>
              <w:rPr>
                <w:rFonts w:ascii="Calibri" w:eastAsia="Times New Roman" w:hAnsi="Calibri" w:cs="Times New Roman"/>
                <w:color w:val="000000"/>
                <w:szCs w:val="22"/>
                <w:lang w:val="it-IT"/>
              </w:rPr>
            </w:pPr>
          </w:p>
        </w:tc>
        <w:tc>
          <w:tcPr>
            <w:tcW w:w="269" w:type="dxa"/>
            <w:tcBorders>
              <w:top w:val="single" w:sz="8" w:space="0" w:color="auto"/>
              <w:left w:val="nil"/>
              <w:bottom w:val="single" w:sz="8" w:space="0" w:color="auto"/>
              <w:right w:val="single" w:sz="8" w:space="0" w:color="auto"/>
            </w:tcBorders>
            <w:shd w:val="clear" w:color="auto" w:fill="auto"/>
            <w:vAlign w:val="center"/>
          </w:tcPr>
          <w:p w14:paraId="0B05188F" w14:textId="77777777" w:rsidR="00E33465" w:rsidRPr="009938F2" w:rsidRDefault="00E33465" w:rsidP="00E33465">
            <w:pPr>
              <w:jc w:val="both"/>
              <w:rPr>
                <w:rFonts w:ascii="Calibri" w:eastAsia="Times New Roman" w:hAnsi="Calibri" w:cs="Times New Roman"/>
                <w:color w:val="000000"/>
                <w:szCs w:val="22"/>
                <w:lang w:val="it-IT"/>
              </w:rPr>
            </w:pPr>
          </w:p>
        </w:tc>
        <w:tc>
          <w:tcPr>
            <w:tcW w:w="283" w:type="dxa"/>
            <w:tcBorders>
              <w:top w:val="nil"/>
              <w:left w:val="nil"/>
              <w:bottom w:val="single" w:sz="8" w:space="0" w:color="auto"/>
              <w:right w:val="single" w:sz="8" w:space="0" w:color="auto"/>
            </w:tcBorders>
            <w:shd w:val="clear" w:color="auto" w:fill="auto"/>
            <w:vAlign w:val="center"/>
          </w:tcPr>
          <w:p w14:paraId="5D8BE842" w14:textId="77777777" w:rsidR="00E33465" w:rsidRPr="009938F2" w:rsidRDefault="00E33465" w:rsidP="00E33465">
            <w:pPr>
              <w:jc w:val="both"/>
              <w:rPr>
                <w:rFonts w:ascii="Calibri" w:eastAsia="Times New Roman" w:hAnsi="Calibri" w:cs="Times New Roman"/>
                <w:color w:val="000000"/>
                <w:szCs w:val="22"/>
                <w:lang w:val="it-IT"/>
              </w:rPr>
            </w:pPr>
          </w:p>
        </w:tc>
        <w:tc>
          <w:tcPr>
            <w:tcW w:w="276" w:type="dxa"/>
            <w:tcBorders>
              <w:top w:val="nil"/>
              <w:left w:val="nil"/>
              <w:bottom w:val="single" w:sz="8" w:space="0" w:color="auto"/>
              <w:right w:val="single" w:sz="8" w:space="0" w:color="auto"/>
            </w:tcBorders>
            <w:shd w:val="clear" w:color="auto" w:fill="auto"/>
            <w:vAlign w:val="center"/>
          </w:tcPr>
          <w:p w14:paraId="5B5A22A9" w14:textId="77777777" w:rsidR="00E33465" w:rsidRPr="009938F2" w:rsidRDefault="00E33465" w:rsidP="00E33465">
            <w:pPr>
              <w:jc w:val="both"/>
              <w:rPr>
                <w:rFonts w:ascii="Calibri" w:eastAsia="Times New Roman" w:hAnsi="Calibri" w:cs="Times New Roman"/>
                <w:color w:val="000000"/>
                <w:szCs w:val="22"/>
                <w:lang w:val="it-IT"/>
              </w:rPr>
            </w:pPr>
          </w:p>
        </w:tc>
        <w:tc>
          <w:tcPr>
            <w:tcW w:w="276" w:type="dxa"/>
            <w:tcBorders>
              <w:top w:val="nil"/>
              <w:left w:val="nil"/>
              <w:bottom w:val="single" w:sz="8" w:space="0" w:color="auto"/>
              <w:right w:val="single" w:sz="8" w:space="0" w:color="auto"/>
            </w:tcBorders>
            <w:shd w:val="clear" w:color="auto" w:fill="auto"/>
            <w:vAlign w:val="center"/>
          </w:tcPr>
          <w:p w14:paraId="2BF0A2CF" w14:textId="77777777" w:rsidR="00E33465" w:rsidRPr="009938F2" w:rsidRDefault="00E33465" w:rsidP="00E33465">
            <w:pPr>
              <w:jc w:val="both"/>
              <w:rPr>
                <w:rFonts w:ascii="Calibri" w:eastAsia="Times New Roman" w:hAnsi="Calibri" w:cs="Times New Roman"/>
                <w:color w:val="000000"/>
                <w:szCs w:val="22"/>
                <w:lang w:val="it-IT"/>
              </w:rPr>
            </w:pPr>
          </w:p>
        </w:tc>
        <w:tc>
          <w:tcPr>
            <w:tcW w:w="276" w:type="dxa"/>
            <w:tcBorders>
              <w:top w:val="nil"/>
              <w:left w:val="nil"/>
              <w:bottom w:val="single" w:sz="8" w:space="0" w:color="auto"/>
              <w:right w:val="single" w:sz="8" w:space="0" w:color="auto"/>
            </w:tcBorders>
            <w:shd w:val="clear" w:color="auto" w:fill="auto"/>
            <w:vAlign w:val="center"/>
          </w:tcPr>
          <w:p w14:paraId="49A2AAE0" w14:textId="77777777" w:rsidR="00E33465" w:rsidRPr="009938F2" w:rsidRDefault="00E33465" w:rsidP="00E33465">
            <w:pPr>
              <w:jc w:val="both"/>
              <w:rPr>
                <w:rFonts w:ascii="Calibri" w:eastAsia="Times New Roman" w:hAnsi="Calibri" w:cs="Times New Roman"/>
                <w:color w:val="000000"/>
                <w:szCs w:val="22"/>
                <w:lang w:val="it-IT"/>
              </w:rPr>
            </w:pPr>
          </w:p>
        </w:tc>
      </w:tr>
      <w:tr w:rsidR="00E33465" w:rsidRPr="009938F2" w14:paraId="7A4F9364" w14:textId="77777777" w:rsidTr="00BF654B">
        <w:trPr>
          <w:trHeight w:val="387"/>
        </w:trPr>
        <w:tc>
          <w:tcPr>
            <w:tcW w:w="4350" w:type="dxa"/>
            <w:tcBorders>
              <w:top w:val="nil"/>
              <w:left w:val="single" w:sz="8" w:space="0" w:color="auto"/>
              <w:bottom w:val="single" w:sz="8" w:space="0" w:color="auto"/>
              <w:right w:val="single" w:sz="8" w:space="0" w:color="auto"/>
            </w:tcBorders>
            <w:shd w:val="clear" w:color="auto" w:fill="auto"/>
            <w:vAlign w:val="center"/>
            <w:hideMark/>
          </w:tcPr>
          <w:p w14:paraId="5CD2A378" w14:textId="1E1586A4" w:rsidR="00E33465" w:rsidRPr="009938F2" w:rsidRDefault="00F03904" w:rsidP="004D022E">
            <w:pPr>
              <w:jc w:val="both"/>
              <w:rPr>
                <w:rFonts w:ascii="Calibri" w:eastAsia="Times New Roman" w:hAnsi="Calibri" w:cs="Times New Roman"/>
                <w:color w:val="000000"/>
                <w:sz w:val="16"/>
                <w:szCs w:val="16"/>
              </w:rPr>
            </w:pPr>
            <w:r w:rsidRPr="009938F2">
              <w:rPr>
                <w:rFonts w:ascii="Calibri" w:eastAsia="Times New Roman" w:hAnsi="Calibri" w:cs="Times New Roman"/>
                <w:color w:val="000000"/>
                <w:sz w:val="16"/>
                <w:szCs w:val="16"/>
              </w:rPr>
              <w:t xml:space="preserve">Implémentation </w:t>
            </w:r>
            <w:r>
              <w:rPr>
                <w:rFonts w:ascii="Calibri" w:eastAsia="Times New Roman" w:hAnsi="Calibri" w:cs="Times New Roman"/>
                <w:color w:val="000000"/>
                <w:sz w:val="16"/>
                <w:szCs w:val="16"/>
              </w:rPr>
              <w:t>projets standards</w:t>
            </w:r>
          </w:p>
        </w:tc>
        <w:tc>
          <w:tcPr>
            <w:tcW w:w="276" w:type="dxa"/>
            <w:tcBorders>
              <w:top w:val="nil"/>
              <w:left w:val="nil"/>
              <w:bottom w:val="single" w:sz="8" w:space="0" w:color="auto"/>
              <w:right w:val="single" w:sz="8" w:space="0" w:color="auto"/>
            </w:tcBorders>
            <w:shd w:val="clear" w:color="auto" w:fill="auto"/>
            <w:vAlign w:val="center"/>
            <w:hideMark/>
          </w:tcPr>
          <w:p w14:paraId="17D610B5" w14:textId="77777777" w:rsidR="00E33465" w:rsidRPr="009938F2" w:rsidRDefault="00E33465" w:rsidP="00E33465">
            <w:pPr>
              <w:jc w:val="both"/>
              <w:rPr>
                <w:rFonts w:ascii="Calibri" w:eastAsia="Times New Roman" w:hAnsi="Calibri" w:cs="Times New Roman"/>
                <w:color w:val="000000"/>
                <w:szCs w:val="22"/>
                <w:lang w:val="it-IT"/>
              </w:rPr>
            </w:pPr>
            <w:r w:rsidRPr="009938F2">
              <w:rPr>
                <w:rFonts w:ascii="Calibri" w:eastAsia="Times New Roman" w:hAnsi="Calibri" w:cs="Times New Roman"/>
                <w:color w:val="000000"/>
                <w:szCs w:val="22"/>
                <w:lang w:val="it-IT"/>
              </w:rPr>
              <w:t> </w:t>
            </w:r>
          </w:p>
        </w:tc>
        <w:tc>
          <w:tcPr>
            <w:tcW w:w="276" w:type="dxa"/>
            <w:tcBorders>
              <w:top w:val="nil"/>
              <w:left w:val="nil"/>
              <w:bottom w:val="single" w:sz="8" w:space="0" w:color="auto"/>
              <w:right w:val="single" w:sz="8" w:space="0" w:color="auto"/>
            </w:tcBorders>
            <w:shd w:val="clear" w:color="auto" w:fill="auto"/>
            <w:vAlign w:val="center"/>
            <w:hideMark/>
          </w:tcPr>
          <w:p w14:paraId="0A4BA8A1" w14:textId="77777777" w:rsidR="00E33465" w:rsidRPr="009938F2" w:rsidRDefault="00E33465" w:rsidP="00E33465">
            <w:pPr>
              <w:jc w:val="both"/>
              <w:rPr>
                <w:rFonts w:ascii="Calibri" w:eastAsia="Times New Roman" w:hAnsi="Calibri" w:cs="Times New Roman"/>
                <w:color w:val="000000"/>
                <w:szCs w:val="22"/>
                <w:lang w:val="it-IT"/>
              </w:rPr>
            </w:pPr>
            <w:r w:rsidRPr="009938F2">
              <w:rPr>
                <w:rFonts w:ascii="Calibri" w:eastAsia="Times New Roman" w:hAnsi="Calibri" w:cs="Times New Roman"/>
                <w:color w:val="000000"/>
                <w:szCs w:val="22"/>
                <w:lang w:val="it-IT"/>
              </w:rPr>
              <w:t> </w:t>
            </w:r>
          </w:p>
        </w:tc>
        <w:tc>
          <w:tcPr>
            <w:tcW w:w="276" w:type="dxa"/>
            <w:tcBorders>
              <w:top w:val="nil"/>
              <w:left w:val="nil"/>
              <w:bottom w:val="single" w:sz="8" w:space="0" w:color="auto"/>
              <w:right w:val="single" w:sz="8" w:space="0" w:color="auto"/>
            </w:tcBorders>
            <w:shd w:val="clear" w:color="auto" w:fill="auto"/>
            <w:vAlign w:val="center"/>
            <w:hideMark/>
          </w:tcPr>
          <w:p w14:paraId="1390D6CC" w14:textId="77777777" w:rsidR="00E33465" w:rsidRPr="009938F2" w:rsidRDefault="00E33465" w:rsidP="00E33465">
            <w:pPr>
              <w:jc w:val="both"/>
              <w:rPr>
                <w:rFonts w:ascii="Calibri" w:eastAsia="Times New Roman" w:hAnsi="Calibri" w:cs="Times New Roman"/>
                <w:color w:val="000000"/>
                <w:szCs w:val="22"/>
                <w:lang w:val="it-IT"/>
              </w:rPr>
            </w:pPr>
            <w:r w:rsidRPr="009938F2">
              <w:rPr>
                <w:rFonts w:ascii="Calibri" w:eastAsia="Times New Roman" w:hAnsi="Calibri" w:cs="Times New Roman"/>
                <w:color w:val="000000"/>
                <w:szCs w:val="22"/>
                <w:lang w:val="it-IT"/>
              </w:rPr>
              <w:t> </w:t>
            </w:r>
          </w:p>
        </w:tc>
        <w:tc>
          <w:tcPr>
            <w:tcW w:w="276" w:type="dxa"/>
            <w:tcBorders>
              <w:top w:val="single" w:sz="8" w:space="0" w:color="auto"/>
              <w:left w:val="nil"/>
              <w:bottom w:val="single" w:sz="8" w:space="0" w:color="auto"/>
              <w:right w:val="single" w:sz="8" w:space="0" w:color="auto"/>
            </w:tcBorders>
            <w:shd w:val="clear" w:color="auto" w:fill="auto"/>
            <w:vAlign w:val="center"/>
            <w:hideMark/>
          </w:tcPr>
          <w:p w14:paraId="368D0D54" w14:textId="77777777" w:rsidR="00E33465" w:rsidRPr="009938F2" w:rsidRDefault="00E33465" w:rsidP="00E33465">
            <w:pPr>
              <w:jc w:val="both"/>
              <w:rPr>
                <w:rFonts w:ascii="Calibri" w:eastAsia="Times New Roman" w:hAnsi="Calibri" w:cs="Times New Roman"/>
                <w:color w:val="000000"/>
                <w:szCs w:val="22"/>
                <w:lang w:val="it-IT"/>
              </w:rPr>
            </w:pPr>
            <w:r w:rsidRPr="009938F2">
              <w:rPr>
                <w:rFonts w:ascii="Calibri" w:eastAsia="Times New Roman" w:hAnsi="Calibri" w:cs="Times New Roman"/>
                <w:color w:val="000000"/>
                <w:szCs w:val="22"/>
                <w:lang w:val="it-IT"/>
              </w:rPr>
              <w:t> </w:t>
            </w:r>
          </w:p>
        </w:tc>
        <w:tc>
          <w:tcPr>
            <w:tcW w:w="276" w:type="dxa"/>
            <w:tcBorders>
              <w:top w:val="single" w:sz="8" w:space="0" w:color="auto"/>
              <w:left w:val="nil"/>
              <w:bottom w:val="single" w:sz="8" w:space="0" w:color="auto"/>
              <w:right w:val="single" w:sz="8" w:space="0" w:color="auto"/>
            </w:tcBorders>
            <w:shd w:val="clear" w:color="auto" w:fill="auto"/>
            <w:vAlign w:val="center"/>
            <w:hideMark/>
          </w:tcPr>
          <w:p w14:paraId="5C45125A" w14:textId="77777777" w:rsidR="00E33465" w:rsidRPr="009938F2" w:rsidRDefault="00E33465" w:rsidP="00E33465">
            <w:pPr>
              <w:jc w:val="both"/>
              <w:rPr>
                <w:rFonts w:ascii="Calibri" w:eastAsia="Times New Roman" w:hAnsi="Calibri" w:cs="Times New Roman"/>
                <w:color w:val="000000"/>
                <w:szCs w:val="22"/>
                <w:lang w:val="it-IT"/>
              </w:rPr>
            </w:pPr>
            <w:r w:rsidRPr="009938F2">
              <w:rPr>
                <w:rFonts w:ascii="Calibri" w:eastAsia="Times New Roman" w:hAnsi="Calibri" w:cs="Times New Roman"/>
                <w:color w:val="000000"/>
                <w:szCs w:val="22"/>
                <w:lang w:val="it-IT"/>
              </w:rPr>
              <w:t> </w:t>
            </w:r>
          </w:p>
        </w:tc>
        <w:tc>
          <w:tcPr>
            <w:tcW w:w="276" w:type="dxa"/>
            <w:tcBorders>
              <w:top w:val="single" w:sz="8" w:space="0" w:color="auto"/>
              <w:left w:val="nil"/>
              <w:bottom w:val="single" w:sz="8" w:space="0" w:color="auto"/>
              <w:right w:val="single" w:sz="8" w:space="0" w:color="auto"/>
            </w:tcBorders>
            <w:shd w:val="clear" w:color="auto" w:fill="339966"/>
            <w:vAlign w:val="center"/>
            <w:hideMark/>
          </w:tcPr>
          <w:p w14:paraId="60DDE16F" w14:textId="77777777" w:rsidR="00E33465" w:rsidRPr="009938F2" w:rsidRDefault="00E33465" w:rsidP="00E33465">
            <w:pPr>
              <w:jc w:val="both"/>
              <w:rPr>
                <w:rFonts w:ascii="Calibri" w:eastAsia="Times New Roman" w:hAnsi="Calibri" w:cs="Times New Roman"/>
                <w:color w:val="000000"/>
                <w:szCs w:val="22"/>
                <w:lang w:val="it-IT"/>
              </w:rPr>
            </w:pPr>
            <w:r w:rsidRPr="009938F2">
              <w:rPr>
                <w:rFonts w:ascii="Calibri" w:eastAsia="Times New Roman" w:hAnsi="Calibri" w:cs="Times New Roman"/>
                <w:color w:val="000000"/>
                <w:szCs w:val="22"/>
                <w:lang w:val="it-IT"/>
              </w:rPr>
              <w:t> </w:t>
            </w:r>
          </w:p>
        </w:tc>
        <w:tc>
          <w:tcPr>
            <w:tcW w:w="276" w:type="dxa"/>
            <w:tcBorders>
              <w:top w:val="single" w:sz="8" w:space="0" w:color="auto"/>
              <w:left w:val="nil"/>
              <w:bottom w:val="single" w:sz="8" w:space="0" w:color="auto"/>
              <w:right w:val="single" w:sz="8" w:space="0" w:color="auto"/>
            </w:tcBorders>
            <w:shd w:val="clear" w:color="auto" w:fill="339966"/>
            <w:vAlign w:val="center"/>
            <w:hideMark/>
          </w:tcPr>
          <w:p w14:paraId="3B1E37E4" w14:textId="77777777" w:rsidR="00E33465" w:rsidRPr="009938F2" w:rsidRDefault="00E33465" w:rsidP="00E33465">
            <w:pPr>
              <w:jc w:val="both"/>
              <w:rPr>
                <w:rFonts w:ascii="Calibri" w:eastAsia="Times New Roman" w:hAnsi="Calibri" w:cs="Times New Roman"/>
                <w:color w:val="000000"/>
                <w:szCs w:val="22"/>
                <w:lang w:val="it-IT"/>
              </w:rPr>
            </w:pPr>
            <w:r w:rsidRPr="009938F2">
              <w:rPr>
                <w:rFonts w:ascii="Calibri" w:eastAsia="Times New Roman" w:hAnsi="Calibri" w:cs="Times New Roman"/>
                <w:color w:val="000000"/>
                <w:szCs w:val="22"/>
                <w:lang w:val="it-IT"/>
              </w:rPr>
              <w:t> </w:t>
            </w:r>
          </w:p>
        </w:tc>
        <w:tc>
          <w:tcPr>
            <w:tcW w:w="276" w:type="dxa"/>
            <w:tcBorders>
              <w:top w:val="single" w:sz="8" w:space="0" w:color="auto"/>
              <w:left w:val="nil"/>
              <w:bottom w:val="single" w:sz="8" w:space="0" w:color="auto"/>
              <w:right w:val="single" w:sz="8" w:space="0" w:color="auto"/>
            </w:tcBorders>
            <w:shd w:val="clear" w:color="auto" w:fill="339966"/>
            <w:vAlign w:val="center"/>
            <w:hideMark/>
          </w:tcPr>
          <w:p w14:paraId="1152F422" w14:textId="77777777" w:rsidR="00E33465" w:rsidRPr="009938F2" w:rsidRDefault="00E33465" w:rsidP="00E33465">
            <w:pPr>
              <w:jc w:val="both"/>
              <w:rPr>
                <w:rFonts w:ascii="Calibri" w:eastAsia="Times New Roman" w:hAnsi="Calibri" w:cs="Times New Roman"/>
                <w:color w:val="000000"/>
                <w:szCs w:val="22"/>
                <w:lang w:val="it-IT"/>
              </w:rPr>
            </w:pPr>
            <w:r w:rsidRPr="009938F2">
              <w:rPr>
                <w:rFonts w:ascii="Calibri" w:eastAsia="Times New Roman" w:hAnsi="Calibri" w:cs="Times New Roman"/>
                <w:color w:val="000000"/>
                <w:szCs w:val="22"/>
                <w:lang w:val="it-IT"/>
              </w:rPr>
              <w:t> </w:t>
            </w:r>
          </w:p>
        </w:tc>
        <w:tc>
          <w:tcPr>
            <w:tcW w:w="276" w:type="dxa"/>
            <w:tcBorders>
              <w:top w:val="single" w:sz="8" w:space="0" w:color="auto"/>
              <w:left w:val="nil"/>
              <w:bottom w:val="single" w:sz="8" w:space="0" w:color="auto"/>
              <w:right w:val="single" w:sz="8" w:space="0" w:color="auto"/>
            </w:tcBorders>
            <w:shd w:val="clear" w:color="auto" w:fill="339966"/>
            <w:vAlign w:val="center"/>
            <w:hideMark/>
          </w:tcPr>
          <w:p w14:paraId="366C68B6" w14:textId="77777777" w:rsidR="00E33465" w:rsidRPr="009938F2" w:rsidRDefault="00E33465" w:rsidP="00E33465">
            <w:pPr>
              <w:jc w:val="both"/>
              <w:rPr>
                <w:rFonts w:ascii="Calibri" w:eastAsia="Times New Roman" w:hAnsi="Calibri" w:cs="Times New Roman"/>
                <w:color w:val="000000"/>
                <w:szCs w:val="22"/>
                <w:lang w:val="it-IT"/>
              </w:rPr>
            </w:pPr>
            <w:r w:rsidRPr="009938F2">
              <w:rPr>
                <w:rFonts w:ascii="Calibri" w:eastAsia="Times New Roman" w:hAnsi="Calibri" w:cs="Times New Roman"/>
                <w:color w:val="000000"/>
                <w:szCs w:val="22"/>
                <w:lang w:val="it-IT"/>
              </w:rPr>
              <w:t> </w:t>
            </w:r>
          </w:p>
        </w:tc>
        <w:tc>
          <w:tcPr>
            <w:tcW w:w="269" w:type="dxa"/>
            <w:tcBorders>
              <w:top w:val="single" w:sz="8" w:space="0" w:color="auto"/>
              <w:left w:val="nil"/>
              <w:bottom w:val="single" w:sz="8" w:space="0" w:color="auto"/>
              <w:right w:val="single" w:sz="8" w:space="0" w:color="auto"/>
            </w:tcBorders>
            <w:shd w:val="clear" w:color="auto" w:fill="339966"/>
            <w:vAlign w:val="center"/>
            <w:hideMark/>
          </w:tcPr>
          <w:p w14:paraId="77F9D5F8" w14:textId="77777777" w:rsidR="00E33465" w:rsidRPr="009938F2" w:rsidRDefault="00E33465" w:rsidP="00E33465">
            <w:pPr>
              <w:jc w:val="both"/>
              <w:rPr>
                <w:rFonts w:ascii="Calibri" w:eastAsia="Times New Roman" w:hAnsi="Calibri" w:cs="Times New Roman"/>
                <w:color w:val="000000"/>
                <w:szCs w:val="22"/>
                <w:lang w:val="it-IT"/>
              </w:rPr>
            </w:pPr>
            <w:r w:rsidRPr="009938F2">
              <w:rPr>
                <w:rFonts w:ascii="Calibri" w:eastAsia="Times New Roman" w:hAnsi="Calibri" w:cs="Times New Roman"/>
                <w:color w:val="000000"/>
                <w:szCs w:val="22"/>
                <w:lang w:val="it-IT"/>
              </w:rPr>
              <w:t> </w:t>
            </w:r>
          </w:p>
        </w:tc>
        <w:tc>
          <w:tcPr>
            <w:tcW w:w="283" w:type="dxa"/>
            <w:tcBorders>
              <w:top w:val="single" w:sz="8" w:space="0" w:color="auto"/>
              <w:left w:val="nil"/>
              <w:bottom w:val="single" w:sz="8" w:space="0" w:color="auto"/>
              <w:right w:val="single" w:sz="8" w:space="0" w:color="auto"/>
            </w:tcBorders>
            <w:shd w:val="clear" w:color="auto" w:fill="339966"/>
            <w:vAlign w:val="center"/>
            <w:hideMark/>
          </w:tcPr>
          <w:p w14:paraId="469292B7" w14:textId="77777777" w:rsidR="00E33465" w:rsidRPr="009938F2" w:rsidRDefault="00E33465" w:rsidP="00E33465">
            <w:pPr>
              <w:jc w:val="both"/>
              <w:rPr>
                <w:rFonts w:ascii="Calibri" w:eastAsia="Times New Roman" w:hAnsi="Calibri" w:cs="Times New Roman"/>
                <w:color w:val="000000"/>
                <w:szCs w:val="22"/>
                <w:lang w:val="it-IT"/>
              </w:rPr>
            </w:pPr>
            <w:r w:rsidRPr="009938F2">
              <w:rPr>
                <w:rFonts w:ascii="Calibri" w:eastAsia="Times New Roman" w:hAnsi="Calibri" w:cs="Times New Roman"/>
                <w:color w:val="000000"/>
                <w:szCs w:val="22"/>
                <w:lang w:val="it-IT"/>
              </w:rPr>
              <w:t> </w:t>
            </w:r>
          </w:p>
        </w:tc>
        <w:tc>
          <w:tcPr>
            <w:tcW w:w="276" w:type="dxa"/>
            <w:tcBorders>
              <w:top w:val="single" w:sz="8" w:space="0" w:color="auto"/>
              <w:left w:val="nil"/>
              <w:bottom w:val="single" w:sz="8" w:space="0" w:color="auto"/>
              <w:right w:val="single" w:sz="8" w:space="0" w:color="auto"/>
            </w:tcBorders>
            <w:shd w:val="clear" w:color="auto" w:fill="auto"/>
            <w:vAlign w:val="center"/>
            <w:hideMark/>
          </w:tcPr>
          <w:p w14:paraId="001347A2" w14:textId="77777777" w:rsidR="00E33465" w:rsidRPr="009938F2" w:rsidRDefault="00E33465" w:rsidP="00E33465">
            <w:pPr>
              <w:jc w:val="both"/>
              <w:rPr>
                <w:rFonts w:ascii="Calibri" w:eastAsia="Times New Roman" w:hAnsi="Calibri" w:cs="Times New Roman"/>
                <w:color w:val="000000"/>
                <w:szCs w:val="22"/>
                <w:lang w:val="it-IT"/>
              </w:rPr>
            </w:pPr>
            <w:r w:rsidRPr="009938F2">
              <w:rPr>
                <w:rFonts w:ascii="Calibri" w:eastAsia="Times New Roman" w:hAnsi="Calibri" w:cs="Times New Roman"/>
                <w:color w:val="000000"/>
                <w:szCs w:val="22"/>
                <w:lang w:val="it-IT"/>
              </w:rPr>
              <w:t> </w:t>
            </w:r>
          </w:p>
        </w:tc>
        <w:tc>
          <w:tcPr>
            <w:tcW w:w="276" w:type="dxa"/>
            <w:tcBorders>
              <w:top w:val="nil"/>
              <w:left w:val="nil"/>
              <w:bottom w:val="single" w:sz="8" w:space="0" w:color="auto"/>
              <w:right w:val="single" w:sz="8" w:space="0" w:color="auto"/>
            </w:tcBorders>
            <w:shd w:val="clear" w:color="auto" w:fill="auto"/>
            <w:vAlign w:val="center"/>
            <w:hideMark/>
          </w:tcPr>
          <w:p w14:paraId="7EAFBA76" w14:textId="77777777" w:rsidR="00E33465" w:rsidRPr="009938F2" w:rsidRDefault="00E33465" w:rsidP="00E33465">
            <w:pPr>
              <w:jc w:val="both"/>
              <w:rPr>
                <w:rFonts w:ascii="Calibri" w:eastAsia="Times New Roman" w:hAnsi="Calibri" w:cs="Times New Roman"/>
                <w:color w:val="000000"/>
                <w:szCs w:val="22"/>
                <w:lang w:val="it-IT"/>
              </w:rPr>
            </w:pPr>
            <w:r w:rsidRPr="009938F2">
              <w:rPr>
                <w:rFonts w:ascii="Calibri" w:eastAsia="Times New Roman" w:hAnsi="Calibri" w:cs="Times New Roman"/>
                <w:color w:val="000000"/>
                <w:szCs w:val="22"/>
                <w:lang w:val="it-IT"/>
              </w:rPr>
              <w:t> </w:t>
            </w:r>
          </w:p>
        </w:tc>
        <w:tc>
          <w:tcPr>
            <w:tcW w:w="276" w:type="dxa"/>
            <w:tcBorders>
              <w:top w:val="nil"/>
              <w:left w:val="nil"/>
              <w:bottom w:val="single" w:sz="8" w:space="0" w:color="auto"/>
              <w:right w:val="single" w:sz="8" w:space="0" w:color="auto"/>
            </w:tcBorders>
            <w:shd w:val="clear" w:color="auto" w:fill="auto"/>
            <w:vAlign w:val="center"/>
            <w:hideMark/>
          </w:tcPr>
          <w:p w14:paraId="36912BF1" w14:textId="77777777" w:rsidR="00E33465" w:rsidRPr="009938F2" w:rsidRDefault="00E33465" w:rsidP="00E33465">
            <w:pPr>
              <w:jc w:val="both"/>
              <w:rPr>
                <w:rFonts w:ascii="Calibri" w:eastAsia="Times New Roman" w:hAnsi="Calibri" w:cs="Times New Roman"/>
                <w:color w:val="000000"/>
                <w:szCs w:val="22"/>
                <w:lang w:val="it-IT"/>
              </w:rPr>
            </w:pPr>
            <w:r w:rsidRPr="009938F2">
              <w:rPr>
                <w:rFonts w:ascii="Calibri" w:eastAsia="Times New Roman" w:hAnsi="Calibri" w:cs="Times New Roman"/>
                <w:color w:val="000000"/>
                <w:szCs w:val="22"/>
                <w:lang w:val="it-IT"/>
              </w:rPr>
              <w:t> </w:t>
            </w:r>
          </w:p>
        </w:tc>
      </w:tr>
      <w:tr w:rsidR="00E33465" w:rsidRPr="009938F2" w14:paraId="1715B553" w14:textId="77777777" w:rsidTr="00DA7D10">
        <w:trPr>
          <w:trHeight w:val="387"/>
        </w:trPr>
        <w:tc>
          <w:tcPr>
            <w:tcW w:w="4350" w:type="dxa"/>
            <w:tcBorders>
              <w:top w:val="nil"/>
              <w:left w:val="single" w:sz="8" w:space="0" w:color="auto"/>
              <w:bottom w:val="single" w:sz="8" w:space="0" w:color="auto"/>
              <w:right w:val="single" w:sz="8" w:space="0" w:color="auto"/>
            </w:tcBorders>
            <w:shd w:val="clear" w:color="auto" w:fill="auto"/>
            <w:vAlign w:val="center"/>
            <w:hideMark/>
          </w:tcPr>
          <w:p w14:paraId="020C6BEB" w14:textId="6D8EBF4E" w:rsidR="00E33465" w:rsidRPr="009938F2" w:rsidRDefault="00E33465" w:rsidP="00AF7E88">
            <w:pPr>
              <w:jc w:val="both"/>
              <w:rPr>
                <w:rFonts w:ascii="Calibri" w:eastAsia="Times New Roman" w:hAnsi="Calibri" w:cs="Times New Roman"/>
                <w:color w:val="000000"/>
                <w:sz w:val="16"/>
                <w:szCs w:val="16"/>
              </w:rPr>
            </w:pPr>
            <w:r w:rsidRPr="009938F2">
              <w:rPr>
                <w:rFonts w:ascii="Calibri" w:eastAsia="Times New Roman" w:hAnsi="Calibri" w:cs="Times New Roman"/>
                <w:color w:val="000000"/>
                <w:sz w:val="16"/>
                <w:szCs w:val="16"/>
              </w:rPr>
              <w:t xml:space="preserve">Lancement appel </w:t>
            </w:r>
            <w:r>
              <w:rPr>
                <w:rFonts w:ascii="Calibri" w:eastAsia="Times New Roman" w:hAnsi="Calibri" w:cs="Times New Roman"/>
                <w:color w:val="000000"/>
                <w:sz w:val="16"/>
                <w:szCs w:val="16"/>
              </w:rPr>
              <w:t>« capitalisation »</w:t>
            </w:r>
          </w:p>
        </w:tc>
        <w:tc>
          <w:tcPr>
            <w:tcW w:w="276" w:type="dxa"/>
            <w:tcBorders>
              <w:top w:val="nil"/>
              <w:left w:val="nil"/>
              <w:bottom w:val="single" w:sz="8" w:space="0" w:color="auto"/>
              <w:right w:val="single" w:sz="8" w:space="0" w:color="auto"/>
            </w:tcBorders>
            <w:shd w:val="clear" w:color="auto" w:fill="auto"/>
            <w:vAlign w:val="center"/>
            <w:hideMark/>
          </w:tcPr>
          <w:p w14:paraId="3194CCD8" w14:textId="77777777" w:rsidR="00E33465" w:rsidRPr="009938F2" w:rsidRDefault="00E33465" w:rsidP="00E33465">
            <w:pPr>
              <w:jc w:val="both"/>
              <w:rPr>
                <w:rFonts w:ascii="Calibri" w:eastAsia="Times New Roman" w:hAnsi="Calibri" w:cs="Times New Roman"/>
                <w:color w:val="000000"/>
                <w:szCs w:val="22"/>
                <w:lang w:val="it-IT"/>
              </w:rPr>
            </w:pPr>
            <w:r w:rsidRPr="009938F2">
              <w:rPr>
                <w:rFonts w:ascii="Calibri" w:eastAsia="Times New Roman" w:hAnsi="Calibri" w:cs="Times New Roman"/>
                <w:color w:val="000000"/>
                <w:szCs w:val="22"/>
                <w:lang w:val="it-IT"/>
              </w:rPr>
              <w:t> </w:t>
            </w:r>
          </w:p>
        </w:tc>
        <w:tc>
          <w:tcPr>
            <w:tcW w:w="276" w:type="dxa"/>
            <w:tcBorders>
              <w:top w:val="nil"/>
              <w:left w:val="nil"/>
              <w:bottom w:val="single" w:sz="8" w:space="0" w:color="auto"/>
              <w:right w:val="single" w:sz="8" w:space="0" w:color="auto"/>
            </w:tcBorders>
            <w:shd w:val="clear" w:color="auto" w:fill="auto"/>
            <w:vAlign w:val="center"/>
            <w:hideMark/>
          </w:tcPr>
          <w:p w14:paraId="34835656" w14:textId="77777777" w:rsidR="00E33465" w:rsidRPr="009938F2" w:rsidRDefault="00E33465" w:rsidP="00E33465">
            <w:pPr>
              <w:jc w:val="both"/>
              <w:rPr>
                <w:rFonts w:ascii="Calibri" w:eastAsia="Times New Roman" w:hAnsi="Calibri" w:cs="Times New Roman"/>
                <w:color w:val="000000"/>
                <w:szCs w:val="22"/>
                <w:lang w:val="it-IT"/>
              </w:rPr>
            </w:pPr>
            <w:r w:rsidRPr="009938F2">
              <w:rPr>
                <w:rFonts w:ascii="Calibri" w:eastAsia="Times New Roman" w:hAnsi="Calibri" w:cs="Times New Roman"/>
                <w:color w:val="000000"/>
                <w:szCs w:val="22"/>
                <w:lang w:val="it-IT"/>
              </w:rPr>
              <w:t> </w:t>
            </w:r>
          </w:p>
        </w:tc>
        <w:tc>
          <w:tcPr>
            <w:tcW w:w="276" w:type="dxa"/>
            <w:tcBorders>
              <w:top w:val="nil"/>
              <w:left w:val="nil"/>
              <w:bottom w:val="single" w:sz="8" w:space="0" w:color="auto"/>
              <w:right w:val="single" w:sz="8" w:space="0" w:color="auto"/>
            </w:tcBorders>
            <w:shd w:val="clear" w:color="auto" w:fill="auto"/>
            <w:vAlign w:val="center"/>
            <w:hideMark/>
          </w:tcPr>
          <w:p w14:paraId="2D93DFE2" w14:textId="77777777" w:rsidR="00E33465" w:rsidRPr="009938F2" w:rsidRDefault="00E33465" w:rsidP="00E33465">
            <w:pPr>
              <w:jc w:val="both"/>
              <w:rPr>
                <w:rFonts w:ascii="Calibri" w:eastAsia="Times New Roman" w:hAnsi="Calibri" w:cs="Times New Roman"/>
                <w:color w:val="000000"/>
                <w:szCs w:val="22"/>
                <w:lang w:val="it-IT"/>
              </w:rPr>
            </w:pPr>
            <w:r w:rsidRPr="009938F2">
              <w:rPr>
                <w:rFonts w:ascii="Calibri" w:eastAsia="Times New Roman" w:hAnsi="Calibri" w:cs="Times New Roman"/>
                <w:color w:val="000000"/>
                <w:szCs w:val="22"/>
                <w:lang w:val="it-IT"/>
              </w:rPr>
              <w:t> </w:t>
            </w:r>
          </w:p>
        </w:tc>
        <w:tc>
          <w:tcPr>
            <w:tcW w:w="276" w:type="dxa"/>
            <w:tcBorders>
              <w:top w:val="nil"/>
              <w:left w:val="nil"/>
              <w:bottom w:val="single" w:sz="8" w:space="0" w:color="auto"/>
              <w:right w:val="single" w:sz="8" w:space="0" w:color="auto"/>
            </w:tcBorders>
            <w:shd w:val="clear" w:color="auto" w:fill="auto"/>
            <w:vAlign w:val="center"/>
            <w:hideMark/>
          </w:tcPr>
          <w:p w14:paraId="1D00B540" w14:textId="77777777" w:rsidR="00E33465" w:rsidRPr="009938F2" w:rsidRDefault="00E33465" w:rsidP="00E33465">
            <w:pPr>
              <w:jc w:val="both"/>
              <w:rPr>
                <w:rFonts w:ascii="Calibri" w:eastAsia="Times New Roman" w:hAnsi="Calibri" w:cs="Times New Roman"/>
                <w:color w:val="000000"/>
                <w:szCs w:val="22"/>
                <w:lang w:val="it-IT"/>
              </w:rPr>
            </w:pPr>
            <w:r w:rsidRPr="009938F2">
              <w:rPr>
                <w:rFonts w:ascii="Calibri" w:eastAsia="Times New Roman" w:hAnsi="Calibri" w:cs="Times New Roman"/>
                <w:color w:val="000000"/>
                <w:szCs w:val="22"/>
                <w:lang w:val="it-IT"/>
              </w:rPr>
              <w:t> </w:t>
            </w:r>
          </w:p>
        </w:tc>
        <w:tc>
          <w:tcPr>
            <w:tcW w:w="276" w:type="dxa"/>
            <w:tcBorders>
              <w:top w:val="nil"/>
              <w:left w:val="nil"/>
              <w:bottom w:val="single" w:sz="8" w:space="0" w:color="auto"/>
              <w:right w:val="single" w:sz="8" w:space="0" w:color="auto"/>
            </w:tcBorders>
            <w:shd w:val="clear" w:color="auto" w:fill="auto"/>
            <w:vAlign w:val="center"/>
            <w:hideMark/>
          </w:tcPr>
          <w:p w14:paraId="3F360B0D" w14:textId="77777777" w:rsidR="00E33465" w:rsidRPr="009938F2" w:rsidRDefault="00E33465" w:rsidP="00E33465">
            <w:pPr>
              <w:jc w:val="both"/>
              <w:rPr>
                <w:rFonts w:ascii="Calibri" w:eastAsia="Times New Roman" w:hAnsi="Calibri" w:cs="Times New Roman"/>
                <w:color w:val="000000"/>
                <w:szCs w:val="22"/>
                <w:lang w:val="it-IT"/>
              </w:rPr>
            </w:pPr>
            <w:r w:rsidRPr="009938F2">
              <w:rPr>
                <w:rFonts w:ascii="Calibri" w:eastAsia="Times New Roman" w:hAnsi="Calibri" w:cs="Times New Roman"/>
                <w:color w:val="000000"/>
                <w:szCs w:val="22"/>
                <w:lang w:val="it-IT"/>
              </w:rPr>
              <w:t> </w:t>
            </w:r>
          </w:p>
        </w:tc>
        <w:tc>
          <w:tcPr>
            <w:tcW w:w="276" w:type="dxa"/>
            <w:tcBorders>
              <w:top w:val="nil"/>
              <w:left w:val="nil"/>
              <w:bottom w:val="single" w:sz="8" w:space="0" w:color="auto"/>
              <w:right w:val="single" w:sz="8" w:space="0" w:color="auto"/>
            </w:tcBorders>
            <w:shd w:val="clear" w:color="auto" w:fill="auto"/>
            <w:vAlign w:val="center"/>
            <w:hideMark/>
          </w:tcPr>
          <w:p w14:paraId="1752D169" w14:textId="77777777" w:rsidR="00E33465" w:rsidRPr="009938F2" w:rsidRDefault="00E33465" w:rsidP="00E33465">
            <w:pPr>
              <w:jc w:val="both"/>
              <w:rPr>
                <w:rFonts w:ascii="Calibri" w:eastAsia="Times New Roman" w:hAnsi="Calibri" w:cs="Times New Roman"/>
                <w:color w:val="000000"/>
                <w:szCs w:val="22"/>
                <w:lang w:val="it-IT"/>
              </w:rPr>
            </w:pPr>
            <w:r w:rsidRPr="009938F2">
              <w:rPr>
                <w:rFonts w:ascii="Calibri" w:eastAsia="Times New Roman" w:hAnsi="Calibri" w:cs="Times New Roman"/>
                <w:color w:val="000000"/>
                <w:szCs w:val="22"/>
                <w:lang w:val="it-IT"/>
              </w:rPr>
              <w:t> </w:t>
            </w:r>
          </w:p>
        </w:tc>
        <w:tc>
          <w:tcPr>
            <w:tcW w:w="276" w:type="dxa"/>
            <w:tcBorders>
              <w:top w:val="single" w:sz="8" w:space="0" w:color="auto"/>
              <w:left w:val="nil"/>
              <w:bottom w:val="single" w:sz="8" w:space="0" w:color="auto"/>
              <w:right w:val="single" w:sz="8" w:space="0" w:color="auto"/>
            </w:tcBorders>
            <w:shd w:val="clear" w:color="auto" w:fill="auto"/>
            <w:vAlign w:val="center"/>
            <w:hideMark/>
          </w:tcPr>
          <w:p w14:paraId="5F385AE5" w14:textId="77777777" w:rsidR="00E33465" w:rsidRPr="009938F2" w:rsidRDefault="00E33465" w:rsidP="00E33465">
            <w:pPr>
              <w:jc w:val="both"/>
              <w:rPr>
                <w:rFonts w:ascii="Calibri" w:eastAsia="Times New Roman" w:hAnsi="Calibri" w:cs="Times New Roman"/>
                <w:color w:val="000000"/>
                <w:szCs w:val="22"/>
                <w:lang w:val="it-IT"/>
              </w:rPr>
            </w:pPr>
            <w:r w:rsidRPr="009938F2">
              <w:rPr>
                <w:rFonts w:ascii="Calibri" w:eastAsia="Times New Roman" w:hAnsi="Calibri" w:cs="Times New Roman"/>
                <w:color w:val="000000"/>
                <w:szCs w:val="22"/>
                <w:lang w:val="it-IT"/>
              </w:rPr>
              <w:t> </w:t>
            </w:r>
          </w:p>
        </w:tc>
        <w:tc>
          <w:tcPr>
            <w:tcW w:w="276" w:type="dxa"/>
            <w:tcBorders>
              <w:top w:val="nil"/>
              <w:left w:val="nil"/>
              <w:bottom w:val="single" w:sz="8" w:space="0" w:color="auto"/>
              <w:right w:val="single" w:sz="8" w:space="0" w:color="auto"/>
            </w:tcBorders>
            <w:shd w:val="clear" w:color="auto" w:fill="auto"/>
            <w:vAlign w:val="center"/>
            <w:hideMark/>
          </w:tcPr>
          <w:p w14:paraId="1003F469" w14:textId="77777777" w:rsidR="00E33465" w:rsidRPr="009938F2" w:rsidRDefault="00E33465" w:rsidP="00E33465">
            <w:pPr>
              <w:jc w:val="both"/>
              <w:rPr>
                <w:rFonts w:ascii="Calibri" w:eastAsia="Times New Roman" w:hAnsi="Calibri" w:cs="Times New Roman"/>
                <w:color w:val="000000"/>
                <w:szCs w:val="22"/>
                <w:lang w:val="it-IT"/>
              </w:rPr>
            </w:pPr>
            <w:r w:rsidRPr="009938F2">
              <w:rPr>
                <w:rFonts w:ascii="Calibri" w:eastAsia="Times New Roman" w:hAnsi="Calibri" w:cs="Times New Roman"/>
                <w:color w:val="000000"/>
                <w:szCs w:val="22"/>
                <w:lang w:val="it-IT"/>
              </w:rPr>
              <w:t> </w:t>
            </w:r>
          </w:p>
        </w:tc>
        <w:tc>
          <w:tcPr>
            <w:tcW w:w="276" w:type="dxa"/>
            <w:tcBorders>
              <w:top w:val="nil"/>
              <w:left w:val="nil"/>
              <w:bottom w:val="single" w:sz="8" w:space="0" w:color="auto"/>
              <w:right w:val="single" w:sz="8" w:space="0" w:color="auto"/>
            </w:tcBorders>
            <w:shd w:val="clear" w:color="auto" w:fill="auto"/>
            <w:vAlign w:val="center"/>
            <w:hideMark/>
          </w:tcPr>
          <w:p w14:paraId="02C4253C" w14:textId="77777777" w:rsidR="00E33465" w:rsidRPr="009938F2" w:rsidRDefault="00E33465" w:rsidP="00E33465">
            <w:pPr>
              <w:jc w:val="both"/>
              <w:rPr>
                <w:rFonts w:ascii="Calibri" w:eastAsia="Times New Roman" w:hAnsi="Calibri" w:cs="Times New Roman"/>
                <w:color w:val="000000"/>
                <w:szCs w:val="22"/>
                <w:lang w:val="it-IT"/>
              </w:rPr>
            </w:pPr>
            <w:r w:rsidRPr="009938F2">
              <w:rPr>
                <w:rFonts w:ascii="Calibri" w:eastAsia="Times New Roman" w:hAnsi="Calibri" w:cs="Times New Roman"/>
                <w:color w:val="000000"/>
                <w:szCs w:val="22"/>
                <w:lang w:val="it-IT"/>
              </w:rPr>
              <w:t> </w:t>
            </w:r>
          </w:p>
        </w:tc>
        <w:tc>
          <w:tcPr>
            <w:tcW w:w="269" w:type="dxa"/>
            <w:tcBorders>
              <w:top w:val="single" w:sz="8" w:space="0" w:color="auto"/>
              <w:left w:val="nil"/>
              <w:bottom w:val="single" w:sz="8" w:space="0" w:color="auto"/>
              <w:right w:val="single" w:sz="8" w:space="0" w:color="auto"/>
            </w:tcBorders>
            <w:shd w:val="clear" w:color="auto" w:fill="FFCC00"/>
            <w:vAlign w:val="center"/>
            <w:hideMark/>
          </w:tcPr>
          <w:p w14:paraId="39D50E0B" w14:textId="77777777" w:rsidR="00E33465" w:rsidRPr="009938F2" w:rsidRDefault="00E33465" w:rsidP="00E33465">
            <w:pPr>
              <w:jc w:val="both"/>
              <w:rPr>
                <w:rFonts w:ascii="Calibri" w:eastAsia="Times New Roman" w:hAnsi="Calibri" w:cs="Times New Roman"/>
                <w:color w:val="000000"/>
                <w:szCs w:val="22"/>
                <w:lang w:val="it-IT"/>
              </w:rPr>
            </w:pPr>
            <w:r w:rsidRPr="009938F2">
              <w:rPr>
                <w:rFonts w:ascii="Calibri" w:eastAsia="Times New Roman" w:hAnsi="Calibri" w:cs="Times New Roman"/>
                <w:color w:val="000000"/>
                <w:szCs w:val="22"/>
                <w:lang w:val="it-IT"/>
              </w:rPr>
              <w:t> </w:t>
            </w:r>
          </w:p>
        </w:tc>
        <w:tc>
          <w:tcPr>
            <w:tcW w:w="283" w:type="dxa"/>
            <w:tcBorders>
              <w:top w:val="single" w:sz="8" w:space="0" w:color="auto"/>
              <w:left w:val="nil"/>
              <w:bottom w:val="single" w:sz="8" w:space="0" w:color="auto"/>
              <w:right w:val="single" w:sz="8" w:space="0" w:color="auto"/>
            </w:tcBorders>
            <w:shd w:val="clear" w:color="auto" w:fill="auto"/>
            <w:vAlign w:val="center"/>
            <w:hideMark/>
          </w:tcPr>
          <w:p w14:paraId="3D888C06" w14:textId="77777777" w:rsidR="00E33465" w:rsidRPr="009938F2" w:rsidRDefault="00E33465" w:rsidP="00E33465">
            <w:pPr>
              <w:jc w:val="both"/>
              <w:rPr>
                <w:rFonts w:ascii="Calibri" w:eastAsia="Times New Roman" w:hAnsi="Calibri" w:cs="Times New Roman"/>
                <w:color w:val="000000"/>
                <w:szCs w:val="22"/>
                <w:lang w:val="it-IT"/>
              </w:rPr>
            </w:pPr>
            <w:r w:rsidRPr="009938F2">
              <w:rPr>
                <w:rFonts w:ascii="Calibri" w:eastAsia="Times New Roman" w:hAnsi="Calibri" w:cs="Times New Roman"/>
                <w:color w:val="000000"/>
                <w:szCs w:val="22"/>
                <w:lang w:val="it-IT"/>
              </w:rPr>
              <w:t> </w:t>
            </w:r>
          </w:p>
        </w:tc>
        <w:tc>
          <w:tcPr>
            <w:tcW w:w="276" w:type="dxa"/>
            <w:tcBorders>
              <w:top w:val="nil"/>
              <w:left w:val="nil"/>
              <w:bottom w:val="single" w:sz="8" w:space="0" w:color="auto"/>
              <w:right w:val="single" w:sz="8" w:space="0" w:color="auto"/>
            </w:tcBorders>
            <w:shd w:val="clear" w:color="auto" w:fill="auto"/>
            <w:vAlign w:val="center"/>
            <w:hideMark/>
          </w:tcPr>
          <w:p w14:paraId="3A708C5C" w14:textId="77777777" w:rsidR="00E33465" w:rsidRPr="009938F2" w:rsidRDefault="00E33465" w:rsidP="00E33465">
            <w:pPr>
              <w:jc w:val="both"/>
              <w:rPr>
                <w:rFonts w:ascii="Calibri" w:eastAsia="Times New Roman" w:hAnsi="Calibri" w:cs="Times New Roman"/>
                <w:color w:val="000000"/>
                <w:szCs w:val="22"/>
                <w:lang w:val="it-IT"/>
              </w:rPr>
            </w:pPr>
            <w:r w:rsidRPr="009938F2">
              <w:rPr>
                <w:rFonts w:ascii="Calibri" w:eastAsia="Times New Roman" w:hAnsi="Calibri" w:cs="Times New Roman"/>
                <w:color w:val="000000"/>
                <w:szCs w:val="22"/>
                <w:lang w:val="it-IT"/>
              </w:rPr>
              <w:t> </w:t>
            </w:r>
          </w:p>
        </w:tc>
        <w:tc>
          <w:tcPr>
            <w:tcW w:w="276" w:type="dxa"/>
            <w:tcBorders>
              <w:top w:val="nil"/>
              <w:left w:val="nil"/>
              <w:bottom w:val="single" w:sz="8" w:space="0" w:color="auto"/>
              <w:right w:val="single" w:sz="8" w:space="0" w:color="auto"/>
            </w:tcBorders>
            <w:shd w:val="clear" w:color="auto" w:fill="auto"/>
            <w:vAlign w:val="center"/>
            <w:hideMark/>
          </w:tcPr>
          <w:p w14:paraId="0AC57885" w14:textId="77777777" w:rsidR="00E33465" w:rsidRPr="009938F2" w:rsidRDefault="00E33465" w:rsidP="00E33465">
            <w:pPr>
              <w:jc w:val="both"/>
              <w:rPr>
                <w:rFonts w:ascii="Calibri" w:eastAsia="Times New Roman" w:hAnsi="Calibri" w:cs="Times New Roman"/>
                <w:color w:val="000000"/>
                <w:szCs w:val="22"/>
                <w:lang w:val="it-IT"/>
              </w:rPr>
            </w:pPr>
            <w:r w:rsidRPr="009938F2">
              <w:rPr>
                <w:rFonts w:ascii="Calibri" w:eastAsia="Times New Roman" w:hAnsi="Calibri" w:cs="Times New Roman"/>
                <w:color w:val="000000"/>
                <w:szCs w:val="22"/>
                <w:lang w:val="it-IT"/>
              </w:rPr>
              <w:t> </w:t>
            </w:r>
          </w:p>
        </w:tc>
        <w:tc>
          <w:tcPr>
            <w:tcW w:w="276" w:type="dxa"/>
            <w:tcBorders>
              <w:top w:val="nil"/>
              <w:left w:val="nil"/>
              <w:bottom w:val="single" w:sz="8" w:space="0" w:color="auto"/>
              <w:right w:val="single" w:sz="8" w:space="0" w:color="auto"/>
            </w:tcBorders>
            <w:shd w:val="clear" w:color="auto" w:fill="auto"/>
            <w:vAlign w:val="center"/>
            <w:hideMark/>
          </w:tcPr>
          <w:p w14:paraId="54AD4AA6" w14:textId="77777777" w:rsidR="00E33465" w:rsidRPr="009938F2" w:rsidRDefault="00E33465" w:rsidP="00E33465">
            <w:pPr>
              <w:jc w:val="both"/>
              <w:rPr>
                <w:rFonts w:ascii="Calibri" w:eastAsia="Times New Roman" w:hAnsi="Calibri" w:cs="Times New Roman"/>
                <w:color w:val="000000"/>
                <w:szCs w:val="22"/>
                <w:lang w:val="it-IT"/>
              </w:rPr>
            </w:pPr>
            <w:r w:rsidRPr="009938F2">
              <w:rPr>
                <w:rFonts w:ascii="Calibri" w:eastAsia="Times New Roman" w:hAnsi="Calibri" w:cs="Times New Roman"/>
                <w:color w:val="000000"/>
                <w:szCs w:val="22"/>
                <w:lang w:val="it-IT"/>
              </w:rPr>
              <w:t> </w:t>
            </w:r>
          </w:p>
        </w:tc>
      </w:tr>
      <w:tr w:rsidR="00E33465" w:rsidRPr="009938F2" w14:paraId="2CB5D575" w14:textId="77777777" w:rsidTr="00DA7D10">
        <w:trPr>
          <w:trHeight w:val="387"/>
        </w:trPr>
        <w:tc>
          <w:tcPr>
            <w:tcW w:w="4350" w:type="dxa"/>
            <w:tcBorders>
              <w:top w:val="nil"/>
              <w:left w:val="single" w:sz="8" w:space="0" w:color="auto"/>
              <w:bottom w:val="single" w:sz="8" w:space="0" w:color="auto"/>
              <w:right w:val="single" w:sz="8" w:space="0" w:color="auto"/>
            </w:tcBorders>
            <w:shd w:val="clear" w:color="auto" w:fill="auto"/>
            <w:vAlign w:val="center"/>
            <w:hideMark/>
          </w:tcPr>
          <w:p w14:paraId="36D9DDA9" w14:textId="6C79808B" w:rsidR="00E33465" w:rsidRPr="009938F2" w:rsidRDefault="008E4CDA" w:rsidP="008E4CDA">
            <w:pPr>
              <w:jc w:val="both"/>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Implémentation projets appel </w:t>
            </w:r>
            <w:r w:rsidR="00D256EB">
              <w:rPr>
                <w:rFonts w:ascii="Calibri" w:eastAsia="Times New Roman" w:hAnsi="Calibri" w:cs="Times New Roman"/>
                <w:color w:val="000000"/>
                <w:sz w:val="16"/>
                <w:szCs w:val="16"/>
              </w:rPr>
              <w:t>« capitalisation»</w:t>
            </w:r>
          </w:p>
        </w:tc>
        <w:tc>
          <w:tcPr>
            <w:tcW w:w="276" w:type="dxa"/>
            <w:tcBorders>
              <w:top w:val="nil"/>
              <w:left w:val="nil"/>
              <w:bottom w:val="single" w:sz="8" w:space="0" w:color="auto"/>
              <w:right w:val="single" w:sz="8" w:space="0" w:color="auto"/>
            </w:tcBorders>
            <w:shd w:val="clear" w:color="auto" w:fill="auto"/>
            <w:vAlign w:val="center"/>
            <w:hideMark/>
          </w:tcPr>
          <w:p w14:paraId="5F197230" w14:textId="77777777" w:rsidR="00E33465" w:rsidRPr="009938F2" w:rsidRDefault="00E33465" w:rsidP="00E33465">
            <w:pPr>
              <w:jc w:val="both"/>
              <w:rPr>
                <w:rFonts w:ascii="Calibri" w:eastAsia="Times New Roman" w:hAnsi="Calibri" w:cs="Times New Roman"/>
                <w:color w:val="000000"/>
                <w:szCs w:val="22"/>
                <w:lang w:val="it-IT"/>
              </w:rPr>
            </w:pPr>
            <w:r w:rsidRPr="009938F2">
              <w:rPr>
                <w:rFonts w:ascii="Calibri" w:eastAsia="Times New Roman" w:hAnsi="Calibri" w:cs="Times New Roman"/>
                <w:color w:val="000000"/>
                <w:szCs w:val="22"/>
                <w:lang w:val="it-IT"/>
              </w:rPr>
              <w:t> </w:t>
            </w:r>
          </w:p>
        </w:tc>
        <w:tc>
          <w:tcPr>
            <w:tcW w:w="276" w:type="dxa"/>
            <w:tcBorders>
              <w:top w:val="nil"/>
              <w:left w:val="nil"/>
              <w:bottom w:val="single" w:sz="8" w:space="0" w:color="auto"/>
              <w:right w:val="single" w:sz="8" w:space="0" w:color="auto"/>
            </w:tcBorders>
            <w:shd w:val="clear" w:color="auto" w:fill="auto"/>
            <w:vAlign w:val="center"/>
            <w:hideMark/>
          </w:tcPr>
          <w:p w14:paraId="6E3E7473" w14:textId="77777777" w:rsidR="00E33465" w:rsidRPr="009938F2" w:rsidRDefault="00E33465" w:rsidP="00E33465">
            <w:pPr>
              <w:jc w:val="both"/>
              <w:rPr>
                <w:rFonts w:ascii="Calibri" w:eastAsia="Times New Roman" w:hAnsi="Calibri" w:cs="Times New Roman"/>
                <w:color w:val="000000"/>
                <w:szCs w:val="22"/>
                <w:lang w:val="it-IT"/>
              </w:rPr>
            </w:pPr>
            <w:r w:rsidRPr="009938F2">
              <w:rPr>
                <w:rFonts w:ascii="Calibri" w:eastAsia="Times New Roman" w:hAnsi="Calibri" w:cs="Times New Roman"/>
                <w:color w:val="000000"/>
                <w:szCs w:val="22"/>
                <w:lang w:val="it-IT"/>
              </w:rPr>
              <w:t> </w:t>
            </w:r>
          </w:p>
        </w:tc>
        <w:tc>
          <w:tcPr>
            <w:tcW w:w="276" w:type="dxa"/>
            <w:tcBorders>
              <w:top w:val="nil"/>
              <w:left w:val="nil"/>
              <w:bottom w:val="single" w:sz="8" w:space="0" w:color="auto"/>
              <w:right w:val="single" w:sz="8" w:space="0" w:color="auto"/>
            </w:tcBorders>
            <w:shd w:val="clear" w:color="auto" w:fill="auto"/>
            <w:vAlign w:val="center"/>
            <w:hideMark/>
          </w:tcPr>
          <w:p w14:paraId="6D0657E3" w14:textId="77777777" w:rsidR="00E33465" w:rsidRPr="009938F2" w:rsidRDefault="00E33465" w:rsidP="00E33465">
            <w:pPr>
              <w:jc w:val="both"/>
              <w:rPr>
                <w:rFonts w:ascii="Calibri" w:eastAsia="Times New Roman" w:hAnsi="Calibri" w:cs="Times New Roman"/>
                <w:color w:val="000000"/>
                <w:szCs w:val="22"/>
                <w:lang w:val="it-IT"/>
              </w:rPr>
            </w:pPr>
            <w:r w:rsidRPr="009938F2">
              <w:rPr>
                <w:rFonts w:ascii="Calibri" w:eastAsia="Times New Roman" w:hAnsi="Calibri" w:cs="Times New Roman"/>
                <w:color w:val="000000"/>
                <w:szCs w:val="22"/>
                <w:lang w:val="it-IT"/>
              </w:rPr>
              <w:t> </w:t>
            </w:r>
          </w:p>
        </w:tc>
        <w:tc>
          <w:tcPr>
            <w:tcW w:w="276" w:type="dxa"/>
            <w:tcBorders>
              <w:top w:val="nil"/>
              <w:left w:val="nil"/>
              <w:bottom w:val="single" w:sz="8" w:space="0" w:color="auto"/>
              <w:right w:val="single" w:sz="8" w:space="0" w:color="auto"/>
            </w:tcBorders>
            <w:shd w:val="clear" w:color="auto" w:fill="auto"/>
            <w:vAlign w:val="center"/>
            <w:hideMark/>
          </w:tcPr>
          <w:p w14:paraId="27667FE6" w14:textId="77777777" w:rsidR="00E33465" w:rsidRPr="009938F2" w:rsidRDefault="00E33465" w:rsidP="00E33465">
            <w:pPr>
              <w:jc w:val="both"/>
              <w:rPr>
                <w:rFonts w:ascii="Calibri" w:eastAsia="Times New Roman" w:hAnsi="Calibri" w:cs="Times New Roman"/>
                <w:color w:val="000000"/>
                <w:szCs w:val="22"/>
                <w:lang w:val="it-IT"/>
              </w:rPr>
            </w:pPr>
            <w:r w:rsidRPr="009938F2">
              <w:rPr>
                <w:rFonts w:ascii="Calibri" w:eastAsia="Times New Roman" w:hAnsi="Calibri" w:cs="Times New Roman"/>
                <w:color w:val="000000"/>
                <w:szCs w:val="22"/>
                <w:lang w:val="it-IT"/>
              </w:rPr>
              <w:t> </w:t>
            </w:r>
          </w:p>
        </w:tc>
        <w:tc>
          <w:tcPr>
            <w:tcW w:w="276" w:type="dxa"/>
            <w:tcBorders>
              <w:top w:val="nil"/>
              <w:left w:val="nil"/>
              <w:bottom w:val="single" w:sz="8" w:space="0" w:color="auto"/>
              <w:right w:val="single" w:sz="8" w:space="0" w:color="auto"/>
            </w:tcBorders>
            <w:shd w:val="clear" w:color="auto" w:fill="auto"/>
            <w:vAlign w:val="center"/>
            <w:hideMark/>
          </w:tcPr>
          <w:p w14:paraId="22456BB4" w14:textId="77777777" w:rsidR="00E33465" w:rsidRPr="009938F2" w:rsidRDefault="00E33465" w:rsidP="00E33465">
            <w:pPr>
              <w:jc w:val="both"/>
              <w:rPr>
                <w:rFonts w:ascii="Calibri" w:eastAsia="Times New Roman" w:hAnsi="Calibri" w:cs="Times New Roman"/>
                <w:color w:val="000000"/>
                <w:szCs w:val="22"/>
                <w:lang w:val="it-IT"/>
              </w:rPr>
            </w:pPr>
            <w:r w:rsidRPr="009938F2">
              <w:rPr>
                <w:rFonts w:ascii="Calibri" w:eastAsia="Times New Roman" w:hAnsi="Calibri" w:cs="Times New Roman"/>
                <w:color w:val="000000"/>
                <w:szCs w:val="22"/>
                <w:lang w:val="it-IT"/>
              </w:rPr>
              <w:t> </w:t>
            </w:r>
          </w:p>
        </w:tc>
        <w:tc>
          <w:tcPr>
            <w:tcW w:w="276" w:type="dxa"/>
            <w:tcBorders>
              <w:top w:val="nil"/>
              <w:left w:val="nil"/>
              <w:bottom w:val="single" w:sz="8" w:space="0" w:color="auto"/>
              <w:right w:val="single" w:sz="8" w:space="0" w:color="auto"/>
            </w:tcBorders>
            <w:shd w:val="clear" w:color="auto" w:fill="auto"/>
            <w:vAlign w:val="center"/>
            <w:hideMark/>
          </w:tcPr>
          <w:p w14:paraId="5C41A75D" w14:textId="77777777" w:rsidR="00E33465" w:rsidRPr="009938F2" w:rsidRDefault="00E33465" w:rsidP="00E33465">
            <w:pPr>
              <w:jc w:val="both"/>
              <w:rPr>
                <w:rFonts w:ascii="Calibri" w:eastAsia="Times New Roman" w:hAnsi="Calibri" w:cs="Times New Roman"/>
                <w:color w:val="000000"/>
                <w:szCs w:val="22"/>
                <w:lang w:val="it-IT"/>
              </w:rPr>
            </w:pPr>
            <w:r w:rsidRPr="009938F2">
              <w:rPr>
                <w:rFonts w:ascii="Calibri" w:eastAsia="Times New Roman" w:hAnsi="Calibri" w:cs="Times New Roman"/>
                <w:color w:val="000000"/>
                <w:szCs w:val="22"/>
                <w:lang w:val="it-IT"/>
              </w:rPr>
              <w:t> </w:t>
            </w:r>
          </w:p>
        </w:tc>
        <w:tc>
          <w:tcPr>
            <w:tcW w:w="276" w:type="dxa"/>
            <w:tcBorders>
              <w:top w:val="nil"/>
              <w:left w:val="nil"/>
              <w:bottom w:val="single" w:sz="8" w:space="0" w:color="auto"/>
              <w:right w:val="single" w:sz="8" w:space="0" w:color="auto"/>
            </w:tcBorders>
            <w:shd w:val="clear" w:color="auto" w:fill="auto"/>
            <w:vAlign w:val="center"/>
            <w:hideMark/>
          </w:tcPr>
          <w:p w14:paraId="5DBE85DB" w14:textId="77777777" w:rsidR="00E33465" w:rsidRPr="009938F2" w:rsidRDefault="00E33465" w:rsidP="00E33465">
            <w:pPr>
              <w:jc w:val="both"/>
              <w:rPr>
                <w:rFonts w:ascii="Calibri" w:eastAsia="Times New Roman" w:hAnsi="Calibri" w:cs="Times New Roman"/>
                <w:color w:val="000000"/>
                <w:szCs w:val="22"/>
                <w:lang w:val="it-IT"/>
              </w:rPr>
            </w:pPr>
            <w:r w:rsidRPr="009938F2">
              <w:rPr>
                <w:rFonts w:ascii="Calibri" w:eastAsia="Times New Roman" w:hAnsi="Calibri" w:cs="Times New Roman"/>
                <w:color w:val="000000"/>
                <w:szCs w:val="22"/>
                <w:lang w:val="it-IT"/>
              </w:rPr>
              <w:t> </w:t>
            </w:r>
          </w:p>
        </w:tc>
        <w:tc>
          <w:tcPr>
            <w:tcW w:w="276" w:type="dxa"/>
            <w:tcBorders>
              <w:top w:val="single" w:sz="8" w:space="0" w:color="auto"/>
              <w:left w:val="nil"/>
              <w:bottom w:val="single" w:sz="8" w:space="0" w:color="auto"/>
              <w:right w:val="single" w:sz="8" w:space="0" w:color="auto"/>
            </w:tcBorders>
            <w:shd w:val="clear" w:color="000000" w:fill="auto"/>
            <w:vAlign w:val="center"/>
            <w:hideMark/>
          </w:tcPr>
          <w:p w14:paraId="7122120D" w14:textId="77777777" w:rsidR="00E33465" w:rsidRPr="009938F2" w:rsidRDefault="00E33465" w:rsidP="00E33465">
            <w:pPr>
              <w:jc w:val="both"/>
              <w:rPr>
                <w:rFonts w:ascii="Calibri" w:eastAsia="Times New Roman" w:hAnsi="Calibri" w:cs="Times New Roman"/>
                <w:color w:val="000000"/>
                <w:szCs w:val="22"/>
                <w:lang w:val="it-IT"/>
              </w:rPr>
            </w:pPr>
            <w:r w:rsidRPr="009938F2">
              <w:rPr>
                <w:rFonts w:ascii="Calibri" w:eastAsia="Times New Roman" w:hAnsi="Calibri" w:cs="Times New Roman"/>
                <w:color w:val="000000"/>
                <w:szCs w:val="22"/>
                <w:lang w:val="it-IT"/>
              </w:rPr>
              <w:t> </w:t>
            </w:r>
          </w:p>
        </w:tc>
        <w:tc>
          <w:tcPr>
            <w:tcW w:w="276" w:type="dxa"/>
            <w:tcBorders>
              <w:top w:val="single" w:sz="8" w:space="0" w:color="auto"/>
              <w:left w:val="nil"/>
              <w:bottom w:val="single" w:sz="8" w:space="0" w:color="auto"/>
              <w:right w:val="single" w:sz="8" w:space="0" w:color="auto"/>
            </w:tcBorders>
            <w:shd w:val="clear" w:color="000000" w:fill="auto"/>
            <w:vAlign w:val="center"/>
            <w:hideMark/>
          </w:tcPr>
          <w:p w14:paraId="431B615A" w14:textId="77777777" w:rsidR="00E33465" w:rsidRPr="009938F2" w:rsidRDefault="00E33465" w:rsidP="00E33465">
            <w:pPr>
              <w:jc w:val="both"/>
              <w:rPr>
                <w:rFonts w:ascii="Calibri" w:eastAsia="Times New Roman" w:hAnsi="Calibri" w:cs="Times New Roman"/>
                <w:color w:val="000000"/>
                <w:szCs w:val="22"/>
                <w:lang w:val="it-IT"/>
              </w:rPr>
            </w:pPr>
            <w:r w:rsidRPr="009938F2">
              <w:rPr>
                <w:rFonts w:ascii="Calibri" w:eastAsia="Times New Roman" w:hAnsi="Calibri" w:cs="Times New Roman"/>
                <w:color w:val="000000"/>
                <w:szCs w:val="22"/>
                <w:lang w:val="it-IT"/>
              </w:rPr>
              <w:t> </w:t>
            </w:r>
          </w:p>
        </w:tc>
        <w:tc>
          <w:tcPr>
            <w:tcW w:w="269" w:type="dxa"/>
            <w:tcBorders>
              <w:top w:val="single" w:sz="8" w:space="0" w:color="auto"/>
              <w:left w:val="nil"/>
              <w:bottom w:val="single" w:sz="8" w:space="0" w:color="auto"/>
              <w:right w:val="single" w:sz="8" w:space="0" w:color="auto"/>
            </w:tcBorders>
            <w:shd w:val="clear" w:color="000000" w:fill="auto"/>
            <w:vAlign w:val="center"/>
            <w:hideMark/>
          </w:tcPr>
          <w:p w14:paraId="0C729171" w14:textId="77777777" w:rsidR="00E33465" w:rsidRPr="009938F2" w:rsidRDefault="00E33465" w:rsidP="00E33465">
            <w:pPr>
              <w:jc w:val="both"/>
              <w:rPr>
                <w:rFonts w:ascii="Calibri" w:eastAsia="Times New Roman" w:hAnsi="Calibri" w:cs="Times New Roman"/>
                <w:color w:val="000000"/>
                <w:szCs w:val="22"/>
                <w:lang w:val="it-IT"/>
              </w:rPr>
            </w:pPr>
            <w:r w:rsidRPr="009938F2">
              <w:rPr>
                <w:rFonts w:ascii="Calibri" w:eastAsia="Times New Roman" w:hAnsi="Calibri" w:cs="Times New Roman"/>
                <w:color w:val="000000"/>
                <w:szCs w:val="22"/>
                <w:lang w:val="it-IT"/>
              </w:rPr>
              <w:t> </w:t>
            </w:r>
          </w:p>
        </w:tc>
        <w:tc>
          <w:tcPr>
            <w:tcW w:w="283" w:type="dxa"/>
            <w:tcBorders>
              <w:top w:val="single" w:sz="8" w:space="0" w:color="auto"/>
              <w:left w:val="nil"/>
              <w:bottom w:val="single" w:sz="8" w:space="0" w:color="auto"/>
              <w:right w:val="single" w:sz="8" w:space="0" w:color="auto"/>
            </w:tcBorders>
            <w:shd w:val="clear" w:color="auto" w:fill="FFCC99"/>
            <w:vAlign w:val="center"/>
            <w:hideMark/>
          </w:tcPr>
          <w:p w14:paraId="22424411" w14:textId="77777777" w:rsidR="00E33465" w:rsidRPr="009938F2" w:rsidRDefault="00E33465" w:rsidP="00E33465">
            <w:pPr>
              <w:jc w:val="both"/>
              <w:rPr>
                <w:rFonts w:ascii="Calibri" w:eastAsia="Times New Roman" w:hAnsi="Calibri" w:cs="Times New Roman"/>
                <w:color w:val="000000"/>
                <w:szCs w:val="22"/>
                <w:lang w:val="it-IT"/>
              </w:rPr>
            </w:pPr>
            <w:r w:rsidRPr="009938F2">
              <w:rPr>
                <w:rFonts w:ascii="Calibri" w:eastAsia="Times New Roman" w:hAnsi="Calibri" w:cs="Times New Roman"/>
                <w:color w:val="000000"/>
                <w:szCs w:val="22"/>
                <w:lang w:val="it-IT"/>
              </w:rPr>
              <w:t> </w:t>
            </w:r>
          </w:p>
        </w:tc>
        <w:tc>
          <w:tcPr>
            <w:tcW w:w="276" w:type="dxa"/>
            <w:tcBorders>
              <w:top w:val="single" w:sz="8" w:space="0" w:color="auto"/>
              <w:left w:val="nil"/>
              <w:bottom w:val="single" w:sz="8" w:space="0" w:color="auto"/>
              <w:right w:val="single" w:sz="8" w:space="0" w:color="auto"/>
            </w:tcBorders>
            <w:shd w:val="clear" w:color="auto" w:fill="FFCC99"/>
            <w:vAlign w:val="center"/>
            <w:hideMark/>
          </w:tcPr>
          <w:p w14:paraId="6339F380" w14:textId="77777777" w:rsidR="00E33465" w:rsidRPr="009938F2" w:rsidRDefault="00E33465" w:rsidP="00E33465">
            <w:pPr>
              <w:jc w:val="both"/>
              <w:rPr>
                <w:rFonts w:ascii="Calibri" w:eastAsia="Times New Roman" w:hAnsi="Calibri" w:cs="Times New Roman"/>
                <w:color w:val="000000"/>
                <w:szCs w:val="22"/>
                <w:lang w:val="it-IT"/>
              </w:rPr>
            </w:pPr>
            <w:r w:rsidRPr="009938F2">
              <w:rPr>
                <w:rFonts w:ascii="Calibri" w:eastAsia="Times New Roman" w:hAnsi="Calibri" w:cs="Times New Roman"/>
                <w:color w:val="000000"/>
                <w:szCs w:val="22"/>
                <w:lang w:val="it-IT"/>
              </w:rPr>
              <w:t> </w:t>
            </w:r>
          </w:p>
        </w:tc>
        <w:tc>
          <w:tcPr>
            <w:tcW w:w="276" w:type="dxa"/>
            <w:tcBorders>
              <w:top w:val="single" w:sz="8" w:space="0" w:color="auto"/>
              <w:left w:val="nil"/>
              <w:bottom w:val="single" w:sz="8" w:space="0" w:color="auto"/>
              <w:right w:val="single" w:sz="8" w:space="0" w:color="auto"/>
            </w:tcBorders>
            <w:shd w:val="clear" w:color="auto" w:fill="FFCC99"/>
            <w:vAlign w:val="center"/>
            <w:hideMark/>
          </w:tcPr>
          <w:p w14:paraId="413F5F99" w14:textId="77777777" w:rsidR="00E33465" w:rsidRPr="009938F2" w:rsidRDefault="00E33465" w:rsidP="00E33465">
            <w:pPr>
              <w:jc w:val="both"/>
              <w:rPr>
                <w:rFonts w:ascii="Calibri" w:eastAsia="Times New Roman" w:hAnsi="Calibri" w:cs="Times New Roman"/>
                <w:color w:val="000000"/>
                <w:szCs w:val="22"/>
                <w:lang w:val="it-IT"/>
              </w:rPr>
            </w:pPr>
            <w:r w:rsidRPr="009938F2">
              <w:rPr>
                <w:rFonts w:ascii="Calibri" w:eastAsia="Times New Roman" w:hAnsi="Calibri" w:cs="Times New Roman"/>
                <w:color w:val="000000"/>
                <w:szCs w:val="22"/>
                <w:lang w:val="it-IT"/>
              </w:rPr>
              <w:t> </w:t>
            </w:r>
          </w:p>
        </w:tc>
        <w:tc>
          <w:tcPr>
            <w:tcW w:w="276" w:type="dxa"/>
            <w:tcBorders>
              <w:top w:val="single" w:sz="8" w:space="0" w:color="auto"/>
              <w:left w:val="nil"/>
              <w:bottom w:val="single" w:sz="8" w:space="0" w:color="auto"/>
              <w:right w:val="single" w:sz="8" w:space="0" w:color="auto"/>
            </w:tcBorders>
            <w:shd w:val="clear" w:color="auto" w:fill="FFCC99"/>
            <w:vAlign w:val="center"/>
            <w:hideMark/>
          </w:tcPr>
          <w:p w14:paraId="37435237" w14:textId="77777777" w:rsidR="00E33465" w:rsidRPr="009938F2" w:rsidRDefault="00E33465" w:rsidP="00E33465">
            <w:pPr>
              <w:jc w:val="both"/>
              <w:rPr>
                <w:rFonts w:ascii="Calibri" w:eastAsia="Times New Roman" w:hAnsi="Calibri" w:cs="Times New Roman"/>
                <w:color w:val="000000"/>
                <w:szCs w:val="22"/>
                <w:lang w:val="it-IT"/>
              </w:rPr>
            </w:pPr>
            <w:r w:rsidRPr="009938F2">
              <w:rPr>
                <w:rFonts w:ascii="Calibri" w:eastAsia="Times New Roman" w:hAnsi="Calibri" w:cs="Times New Roman"/>
                <w:color w:val="000000"/>
                <w:szCs w:val="22"/>
                <w:lang w:val="it-IT"/>
              </w:rPr>
              <w:t> </w:t>
            </w:r>
          </w:p>
        </w:tc>
      </w:tr>
    </w:tbl>
    <w:p w14:paraId="3C89ED87" w14:textId="77777777" w:rsidR="00E33465" w:rsidRPr="00F07A9B" w:rsidRDefault="00E33465" w:rsidP="00E33465">
      <w:pPr>
        <w:jc w:val="both"/>
        <w:rPr>
          <w:sz w:val="18"/>
          <w:szCs w:val="18"/>
        </w:rPr>
      </w:pPr>
    </w:p>
    <w:p w14:paraId="45CF7143" w14:textId="77777777" w:rsidR="007062BA" w:rsidRPr="007062BA" w:rsidRDefault="007062BA" w:rsidP="007062BA"/>
    <w:p w14:paraId="400D32AD" w14:textId="77777777" w:rsidR="00BB4A48" w:rsidRPr="00DC4069" w:rsidRDefault="00BB4A48" w:rsidP="00BB4A48"/>
    <w:p w14:paraId="301CEFB8" w14:textId="0E7D31E8" w:rsidR="0062322A" w:rsidRPr="00DA1B78" w:rsidRDefault="0062322A" w:rsidP="00BB4A48">
      <w:pPr>
        <w:rPr>
          <w:i/>
        </w:rPr>
      </w:pPr>
    </w:p>
    <w:sectPr w:rsidR="0062322A" w:rsidRPr="00DA1B78" w:rsidSect="00900D25">
      <w:headerReference w:type="default" r:id="rId12"/>
      <w:footerReference w:type="even" r:id="rId13"/>
      <w:footerReference w:type="default" r:id="rId14"/>
      <w:headerReference w:type="first" r:id="rId15"/>
      <w:pgSz w:w="11900" w:h="16840"/>
      <w:pgMar w:top="1417" w:right="1134" w:bottom="1134" w:left="1134"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54CD93" w15:done="0"/>
  <w15:commentEx w15:paraId="22A86CED" w15:done="0"/>
  <w15:commentEx w15:paraId="5D3F25D0" w15:done="0"/>
  <w15:commentEx w15:paraId="5559EB63" w15:done="0"/>
  <w15:commentEx w15:paraId="4E31EA62"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EBAF07" w14:textId="77777777" w:rsidR="00B46730" w:rsidRDefault="00B46730" w:rsidP="00887A7D">
      <w:r>
        <w:separator/>
      </w:r>
    </w:p>
  </w:endnote>
  <w:endnote w:type="continuationSeparator" w:id="0">
    <w:p w14:paraId="5652D269" w14:textId="77777777" w:rsidR="00B46730" w:rsidRDefault="00B46730" w:rsidP="00887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Roman">
    <w:panose1 w:val="00000500000000020000"/>
    <w:charset w:val="00"/>
    <w:family w:val="auto"/>
    <w:pitch w:val="variable"/>
    <w:sig w:usb0="E00002FF" w:usb1="5000205A" w:usb2="00000000" w:usb3="00000000" w:csb0="0000019F" w:csb1="00000000"/>
  </w:font>
  <w:font w:name="Gill Sans MT">
    <w:panose1 w:val="020B0502020104020203"/>
    <w:charset w:val="00"/>
    <w:family w:val="auto"/>
    <w:pitch w:val="variable"/>
    <w:sig w:usb0="00000003" w:usb1="00000000" w:usb2="00000000" w:usb3="00000000" w:csb0="00000003"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28E46" w14:textId="77777777" w:rsidR="00B46730" w:rsidRDefault="00B46730" w:rsidP="00900D2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7A2DAD9" w14:textId="77777777" w:rsidR="00B46730" w:rsidRDefault="00B46730" w:rsidP="00900D25">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DE36C" w14:textId="7102B60B" w:rsidR="00B46730" w:rsidRDefault="00B46730" w:rsidP="00F07A9B">
    <w:pPr>
      <w:pStyle w:val="Pidipagina"/>
      <w:framePr w:wrap="around" w:vAnchor="text" w:hAnchor="margin" w:xAlign="right" w:y="1"/>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E233AE" w14:textId="77777777" w:rsidR="00B46730" w:rsidRDefault="00B46730" w:rsidP="00887A7D">
      <w:r>
        <w:separator/>
      </w:r>
    </w:p>
  </w:footnote>
  <w:footnote w:type="continuationSeparator" w:id="0">
    <w:p w14:paraId="63D3CB41" w14:textId="77777777" w:rsidR="00B46730" w:rsidRDefault="00B46730" w:rsidP="00887A7D">
      <w:r>
        <w:continuationSeparator/>
      </w:r>
    </w:p>
  </w:footnote>
  <w:footnote w:id="1">
    <w:p w14:paraId="594A4B03" w14:textId="4CC9DBB0" w:rsidR="00B46730" w:rsidRPr="002D37D9" w:rsidRDefault="00B46730" w:rsidP="009702E8">
      <w:pPr>
        <w:pStyle w:val="Testonotaapidipagina"/>
        <w:contextualSpacing/>
        <w:jc w:val="both"/>
        <w:rPr>
          <w:bCs/>
          <w:sz w:val="18"/>
          <w:szCs w:val="18"/>
        </w:rPr>
      </w:pPr>
      <w:r w:rsidRPr="009702E8">
        <w:rPr>
          <w:rStyle w:val="Rimandonotaapidipagina"/>
          <w:sz w:val="18"/>
          <w:szCs w:val="18"/>
        </w:rPr>
        <w:footnoteRef/>
      </w:r>
      <w:r>
        <w:t xml:space="preserve"> </w:t>
      </w:r>
      <w:r w:rsidRPr="00590069">
        <w:rPr>
          <w:sz w:val="18"/>
          <w:szCs w:val="18"/>
        </w:rPr>
        <w:t xml:space="preserve">Le </w:t>
      </w:r>
      <w:r w:rsidRPr="00590069">
        <w:rPr>
          <w:bCs/>
          <w:sz w:val="18"/>
          <w:szCs w:val="18"/>
        </w:rPr>
        <w:t>Règlement (UE) 2021/947 du parlement européen et du conseil établie</w:t>
      </w:r>
      <w:r>
        <w:rPr>
          <w:bCs/>
          <w:sz w:val="18"/>
          <w:szCs w:val="18"/>
        </w:rPr>
        <w:t xml:space="preserve"> </w:t>
      </w:r>
      <w:r w:rsidRPr="00590069">
        <w:rPr>
          <w:bCs/>
          <w:sz w:val="18"/>
          <w:szCs w:val="18"/>
        </w:rPr>
        <w:t>l’instrument de voisinage, de coopération au développement et de coopération internationale — Europe dans le monde, modifiant et abrogeant la décision no 466/2014/UE du Parlement européen et du Conseil et abrogeant le règlement (UE) 2017/1601 du Parlement européen et du Conseil et le règlement (CE, Euratom) no 480/2009 du Conseil</w:t>
      </w:r>
      <w:r w:rsidRPr="002D37D9">
        <w:rPr>
          <w:bCs/>
          <w:sz w:val="18"/>
          <w:szCs w:val="18"/>
        </w:rPr>
        <w:t xml:space="preserve"> </w:t>
      </w:r>
    </w:p>
    <w:p w14:paraId="1452C957" w14:textId="53B664F1" w:rsidR="00B46730" w:rsidRPr="002D37D9" w:rsidRDefault="00B46730" w:rsidP="009702E8">
      <w:pPr>
        <w:pStyle w:val="Testonotaapidipagina"/>
        <w:contextualSpacing/>
        <w:rPr>
          <w:sz w:val="18"/>
          <w:szCs w:val="18"/>
        </w:rPr>
      </w:pPr>
    </w:p>
  </w:footnote>
  <w:footnote w:id="2">
    <w:p w14:paraId="366C266D" w14:textId="4AC6BF41" w:rsidR="00B46730" w:rsidRPr="002D37D9" w:rsidRDefault="00B46730" w:rsidP="009702E8">
      <w:pPr>
        <w:pStyle w:val="Testonotaapidipagina"/>
        <w:contextualSpacing/>
        <w:rPr>
          <w:sz w:val="18"/>
          <w:szCs w:val="18"/>
        </w:rPr>
      </w:pPr>
      <w:r w:rsidRPr="00590069">
        <w:rPr>
          <w:rStyle w:val="Rimandonotaapidipagina"/>
          <w:sz w:val="18"/>
          <w:szCs w:val="18"/>
        </w:rPr>
        <w:footnoteRef/>
      </w:r>
      <w:r>
        <w:rPr>
          <w:sz w:val="18"/>
          <w:szCs w:val="18"/>
        </w:rPr>
        <w:t xml:space="preserve"> P</w:t>
      </w:r>
      <w:r w:rsidRPr="00590069">
        <w:rPr>
          <w:sz w:val="18"/>
          <w:szCs w:val="18"/>
        </w:rPr>
        <w:t>our le cofinancement national, on attend l'adoption de la résolution CIPE, qui garantira la couverture de cette contribution.</w:t>
      </w:r>
    </w:p>
  </w:footnote>
  <w:footnote w:id="3">
    <w:p w14:paraId="64BF5C02" w14:textId="7CC11FB4" w:rsidR="00B46730" w:rsidRPr="005F4A3D" w:rsidRDefault="00B46730" w:rsidP="009702E8">
      <w:pPr>
        <w:pStyle w:val="Testonotaapidipagina"/>
        <w:contextualSpacing/>
        <w:jc w:val="both"/>
        <w:rPr>
          <w:sz w:val="18"/>
          <w:szCs w:val="18"/>
        </w:rPr>
      </w:pPr>
      <w:r w:rsidRPr="009702E8">
        <w:rPr>
          <w:rStyle w:val="Rimandonotaapidipagina"/>
          <w:sz w:val="18"/>
          <w:szCs w:val="18"/>
        </w:rPr>
        <w:footnoteRef/>
      </w:r>
      <w:r>
        <w:t xml:space="preserve"> </w:t>
      </w:r>
      <w:r>
        <w:rPr>
          <w:sz w:val="18"/>
          <w:szCs w:val="18"/>
        </w:rPr>
        <w:t xml:space="preserve">Règlement (UE) 2021/1059 </w:t>
      </w:r>
      <w:r w:rsidRPr="005F4A3D">
        <w:rPr>
          <w:bCs/>
          <w:sz w:val="18"/>
          <w:szCs w:val="18"/>
        </w:rPr>
        <w:t xml:space="preserve">portant dispositions particulières relatives à l’objectif «Coopération territoriale européenne» (Interreg) soutenu par le Fonds européen de développement régional et les instruments de financement extérieur </w:t>
      </w:r>
    </w:p>
    <w:p w14:paraId="3F6909AE" w14:textId="48A3CF3E" w:rsidR="00B46730" w:rsidRPr="005F4A3D" w:rsidRDefault="00B46730" w:rsidP="009702E8">
      <w:pPr>
        <w:pStyle w:val="Testonotaapidipagina"/>
        <w:contextualSpacing/>
        <w:rPr>
          <w:sz w:val="18"/>
          <w:szCs w:val="18"/>
        </w:rPr>
      </w:pPr>
    </w:p>
  </w:footnote>
  <w:footnote w:id="4">
    <w:p w14:paraId="26311F58" w14:textId="7F0AB5F3" w:rsidR="00B46730" w:rsidRPr="005F7C17" w:rsidRDefault="00B46730" w:rsidP="00B7689A">
      <w:pPr>
        <w:widowControl w:val="0"/>
        <w:autoSpaceDE w:val="0"/>
        <w:autoSpaceDN w:val="0"/>
        <w:adjustRightInd w:val="0"/>
        <w:spacing w:after="240"/>
        <w:contextualSpacing/>
        <w:rPr>
          <w:rFonts w:ascii="Times Roman" w:hAnsi="Times Roman" w:cs="Times Roman"/>
          <w:color w:val="000000"/>
          <w:sz w:val="18"/>
          <w:szCs w:val="18"/>
        </w:rPr>
      </w:pPr>
      <w:r w:rsidRPr="005F7C17">
        <w:rPr>
          <w:rStyle w:val="Rimandonotaapidipagina"/>
          <w:sz w:val="18"/>
          <w:szCs w:val="18"/>
        </w:rPr>
        <w:footnoteRef/>
      </w:r>
      <w:r w:rsidRPr="005F7C17">
        <w:rPr>
          <w:sz w:val="18"/>
          <w:szCs w:val="18"/>
        </w:rPr>
        <w:t xml:space="preserve"> Art 22 et 23 du </w:t>
      </w:r>
      <w:r w:rsidRPr="005F7C17">
        <w:rPr>
          <w:rFonts w:ascii="Times Roman" w:hAnsi="Times Roman" w:cs="Times Roman"/>
          <w:bCs/>
          <w:color w:val="000000"/>
          <w:sz w:val="18"/>
          <w:szCs w:val="18"/>
        </w:rPr>
        <w:t>Règlement (UE) 2021/1059 et art. 2 Règlement 2021/1060</w:t>
      </w:r>
      <w:r w:rsidRPr="005F7C17">
        <w:rPr>
          <w:rFonts w:ascii="Times Roman" w:hAnsi="Times Roman" w:cs="Times Roman"/>
          <w:b/>
          <w:bCs/>
          <w:color w:val="000000"/>
          <w:sz w:val="18"/>
          <w:szCs w:val="18"/>
        </w:rPr>
        <w:t xml:space="preserve"> </w:t>
      </w:r>
      <w:r w:rsidRPr="005F7C17">
        <w:rPr>
          <w:rFonts w:cs="Times Roman"/>
          <w:bCs/>
          <w:color w:val="000000"/>
          <w:sz w:val="18"/>
          <w:szCs w:val="18"/>
        </w:rPr>
        <w:t>sur les dispositions communes</w:t>
      </w:r>
      <w:r w:rsidRPr="005F7C17">
        <w:rPr>
          <w:rFonts w:ascii="Times Roman" w:hAnsi="Times Roman" w:cs="Times Roman"/>
          <w:b/>
          <w:bCs/>
          <w:color w:val="000000"/>
          <w:sz w:val="18"/>
          <w:szCs w:val="18"/>
        </w:rPr>
        <w:t xml:space="preserve"> </w:t>
      </w:r>
    </w:p>
  </w:footnote>
  <w:footnote w:id="5">
    <w:p w14:paraId="36597C36" w14:textId="5FC40BEF" w:rsidR="00B46730" w:rsidRPr="005F7C17" w:rsidRDefault="00B46730" w:rsidP="002159AB">
      <w:pPr>
        <w:pStyle w:val="Testonotaapidipagina"/>
        <w:contextualSpacing/>
        <w:jc w:val="both"/>
        <w:rPr>
          <w:sz w:val="18"/>
          <w:szCs w:val="18"/>
        </w:rPr>
      </w:pPr>
      <w:r w:rsidRPr="005F7C17">
        <w:rPr>
          <w:rStyle w:val="Rimandonotaapidipagina"/>
          <w:sz w:val="18"/>
          <w:szCs w:val="18"/>
        </w:rPr>
        <w:footnoteRef/>
      </w:r>
      <w:r w:rsidRPr="005F7C17">
        <w:rPr>
          <w:sz w:val="18"/>
          <w:szCs w:val="18"/>
        </w:rPr>
        <w:t xml:space="preserve"> Art 5, paragraphe 1, règlement (UE) 2021/1060</w:t>
      </w:r>
    </w:p>
  </w:footnote>
  <w:footnote w:id="6">
    <w:p w14:paraId="1F11AA7A" w14:textId="58F31B38" w:rsidR="00B46730" w:rsidRPr="005F7C17" w:rsidRDefault="00B46730" w:rsidP="002159AB">
      <w:pPr>
        <w:pStyle w:val="Testonotaapidipagina"/>
        <w:contextualSpacing/>
        <w:jc w:val="both"/>
        <w:rPr>
          <w:sz w:val="18"/>
          <w:szCs w:val="18"/>
        </w:rPr>
      </w:pPr>
      <w:r w:rsidRPr="005F7C17">
        <w:rPr>
          <w:rStyle w:val="Rimandonotaapidipagina"/>
          <w:sz w:val="18"/>
          <w:szCs w:val="18"/>
        </w:rPr>
        <w:footnoteRef/>
      </w:r>
      <w:r w:rsidRPr="005F7C17">
        <w:rPr>
          <w:sz w:val="18"/>
          <w:szCs w:val="18"/>
        </w:rPr>
        <w:t xml:space="preserve"> Art 105 des dispositions communes  </w:t>
      </w:r>
      <w:r>
        <w:rPr>
          <w:sz w:val="18"/>
          <w:szCs w:val="18"/>
        </w:rPr>
        <w:t>2021/1060</w:t>
      </w:r>
    </w:p>
  </w:footnote>
  <w:footnote w:id="7">
    <w:p w14:paraId="429C44FA" w14:textId="2CC7BBD8" w:rsidR="00B46730" w:rsidRPr="00880622" w:rsidRDefault="00B46730" w:rsidP="002159AB">
      <w:pPr>
        <w:pStyle w:val="Testonotaapidipagina"/>
        <w:jc w:val="both"/>
      </w:pPr>
      <w:r>
        <w:rPr>
          <w:rStyle w:val="Rimandonotaapidipagina"/>
        </w:rPr>
        <w:footnoteRef/>
      </w:r>
      <w:r w:rsidRPr="00873224">
        <w:t xml:space="preserve"> </w:t>
      </w:r>
      <w:r w:rsidRPr="00873224">
        <w:rPr>
          <w:sz w:val="18"/>
          <w:szCs w:val="18"/>
        </w:rPr>
        <w:t>1.</w:t>
      </w:r>
      <w:r w:rsidRPr="00873224">
        <w:t xml:space="preserve"> </w:t>
      </w:r>
      <w:r w:rsidRPr="00AD2D17">
        <w:rPr>
          <w:sz w:val="18"/>
          <w:szCs w:val="18"/>
        </w:rPr>
        <w:t>Développement et intégration régionale</w:t>
      </w:r>
      <w:r w:rsidRPr="004F4964">
        <w:rPr>
          <w:sz w:val="18"/>
          <w:szCs w:val="18"/>
        </w:rPr>
        <w:t>;</w:t>
      </w:r>
      <w:r>
        <w:rPr>
          <w:b/>
        </w:rPr>
        <w:t xml:space="preserve"> </w:t>
      </w:r>
      <w:r w:rsidRPr="00AD2D17">
        <w:rPr>
          <w:sz w:val="18"/>
          <w:szCs w:val="18"/>
        </w:rPr>
        <w:t>2.</w:t>
      </w:r>
      <w:r w:rsidRPr="00AD2D17">
        <w:rPr>
          <w:b/>
          <w:bCs/>
          <w:sz w:val="21"/>
          <w:szCs w:val="21"/>
          <w:lang w:eastAsia="en-GB"/>
        </w:rPr>
        <w:t xml:space="preserve"> </w:t>
      </w:r>
      <w:r w:rsidRPr="00A73D44">
        <w:rPr>
          <w:bCs/>
          <w:sz w:val="18"/>
          <w:szCs w:val="18"/>
        </w:rPr>
        <w:t>Promotion du développement durable ; 3.</w:t>
      </w:r>
      <w:r w:rsidRPr="00A73D44">
        <w:rPr>
          <w:bCs/>
          <w:sz w:val="21"/>
          <w:szCs w:val="21"/>
          <w:lang w:eastAsia="en-GB"/>
        </w:rPr>
        <w:t xml:space="preserve"> </w:t>
      </w:r>
      <w:r w:rsidRPr="00880622">
        <w:rPr>
          <w:bCs/>
          <w:sz w:val="18"/>
          <w:szCs w:val="18"/>
        </w:rPr>
        <w:t>Coopération culturelle et scientifique, et appui au tissu associatif</w:t>
      </w:r>
    </w:p>
  </w:footnote>
  <w:footnote w:id="8">
    <w:p w14:paraId="409BFECD" w14:textId="06DEDCF3" w:rsidR="00B46730" w:rsidRPr="00880622" w:rsidRDefault="00B46730" w:rsidP="002159AB">
      <w:pPr>
        <w:pStyle w:val="Testonotaapidipagina"/>
        <w:jc w:val="both"/>
      </w:pPr>
      <w:r w:rsidRPr="00880622">
        <w:rPr>
          <w:rStyle w:val="Rimandonotaapidipagina"/>
        </w:rPr>
        <w:footnoteRef/>
      </w:r>
      <w:r w:rsidRPr="00880622">
        <w:t xml:space="preserve"> </w:t>
      </w:r>
      <w:r w:rsidRPr="00880622">
        <w:rPr>
          <w:sz w:val="18"/>
          <w:szCs w:val="18"/>
        </w:rPr>
        <w:t xml:space="preserve">Ex post </w:t>
      </w:r>
      <w:proofErr w:type="spellStart"/>
      <w:r w:rsidRPr="00880622">
        <w:rPr>
          <w:sz w:val="18"/>
          <w:szCs w:val="18"/>
        </w:rPr>
        <w:t>evaluation</w:t>
      </w:r>
      <w:proofErr w:type="spellEnd"/>
      <w:r w:rsidRPr="00880622">
        <w:rPr>
          <w:sz w:val="18"/>
          <w:szCs w:val="18"/>
        </w:rPr>
        <w:t xml:space="preserve"> of 2007-2013 ENPI-CBC Programmes </w:t>
      </w:r>
      <w:proofErr w:type="spellStart"/>
      <w:r w:rsidRPr="00880622">
        <w:rPr>
          <w:sz w:val="18"/>
          <w:szCs w:val="18"/>
        </w:rPr>
        <w:t>evaluation</w:t>
      </w:r>
      <w:proofErr w:type="spellEnd"/>
      <w:r w:rsidRPr="00880622">
        <w:rPr>
          <w:sz w:val="18"/>
          <w:szCs w:val="18"/>
        </w:rPr>
        <w:t xml:space="preserve"> </w:t>
      </w:r>
      <w:proofErr w:type="spellStart"/>
      <w:r w:rsidRPr="00880622">
        <w:rPr>
          <w:sz w:val="18"/>
          <w:szCs w:val="18"/>
        </w:rPr>
        <w:t>carried</w:t>
      </w:r>
      <w:proofErr w:type="spellEnd"/>
      <w:r w:rsidRPr="00880622">
        <w:rPr>
          <w:sz w:val="18"/>
          <w:szCs w:val="18"/>
        </w:rPr>
        <w:t xml:space="preserve"> out by </w:t>
      </w:r>
      <w:proofErr w:type="spellStart"/>
      <w:r w:rsidRPr="00880622">
        <w:rPr>
          <w:sz w:val="18"/>
          <w:szCs w:val="18"/>
        </w:rPr>
        <w:t>European</w:t>
      </w:r>
      <w:proofErr w:type="spellEnd"/>
      <w:r w:rsidRPr="00880622">
        <w:rPr>
          <w:sz w:val="18"/>
          <w:szCs w:val="18"/>
        </w:rPr>
        <w:t xml:space="preserve"> Commission- </w:t>
      </w:r>
      <w:proofErr w:type="spellStart"/>
      <w:r w:rsidRPr="00880622">
        <w:rPr>
          <w:sz w:val="18"/>
          <w:szCs w:val="18"/>
        </w:rPr>
        <w:t>January</w:t>
      </w:r>
      <w:proofErr w:type="spellEnd"/>
      <w:r w:rsidRPr="00880622">
        <w:rPr>
          <w:sz w:val="18"/>
          <w:szCs w:val="18"/>
        </w:rPr>
        <w:t xml:space="preserve"> 2018;   </w:t>
      </w:r>
      <w:proofErr w:type="spellStart"/>
      <w:r w:rsidRPr="00880622">
        <w:rPr>
          <w:sz w:val="18"/>
          <w:szCs w:val="18"/>
        </w:rPr>
        <w:t>Regione</w:t>
      </w:r>
      <w:proofErr w:type="spellEnd"/>
      <w:r w:rsidRPr="00880622">
        <w:rPr>
          <w:sz w:val="18"/>
          <w:szCs w:val="18"/>
        </w:rPr>
        <w:t xml:space="preserve"> </w:t>
      </w:r>
      <w:proofErr w:type="spellStart"/>
      <w:r w:rsidRPr="00880622">
        <w:rPr>
          <w:sz w:val="18"/>
          <w:szCs w:val="18"/>
        </w:rPr>
        <w:t>Siciliana</w:t>
      </w:r>
      <w:proofErr w:type="spellEnd"/>
      <w:r w:rsidRPr="00880622">
        <w:rPr>
          <w:sz w:val="18"/>
          <w:szCs w:val="18"/>
        </w:rPr>
        <w:t xml:space="preserve">- </w:t>
      </w:r>
      <w:proofErr w:type="spellStart"/>
      <w:r w:rsidRPr="00880622">
        <w:rPr>
          <w:sz w:val="18"/>
          <w:szCs w:val="18"/>
        </w:rPr>
        <w:t>Dipartimento</w:t>
      </w:r>
      <w:proofErr w:type="spellEnd"/>
      <w:r w:rsidRPr="00880622">
        <w:rPr>
          <w:sz w:val="18"/>
          <w:szCs w:val="18"/>
        </w:rPr>
        <w:t xml:space="preserve"> </w:t>
      </w:r>
      <w:proofErr w:type="spellStart"/>
      <w:r w:rsidRPr="00880622">
        <w:rPr>
          <w:sz w:val="18"/>
          <w:szCs w:val="18"/>
        </w:rPr>
        <w:t>della</w:t>
      </w:r>
      <w:proofErr w:type="spellEnd"/>
      <w:r w:rsidRPr="00880622">
        <w:rPr>
          <w:sz w:val="18"/>
          <w:szCs w:val="18"/>
        </w:rPr>
        <w:t xml:space="preserve"> </w:t>
      </w:r>
      <w:proofErr w:type="spellStart"/>
      <w:r w:rsidRPr="00880622">
        <w:rPr>
          <w:sz w:val="18"/>
          <w:szCs w:val="18"/>
        </w:rPr>
        <w:t>Programmazione</w:t>
      </w:r>
      <w:proofErr w:type="spellEnd"/>
      <w:r w:rsidRPr="00880622">
        <w:rPr>
          <w:sz w:val="18"/>
          <w:szCs w:val="18"/>
        </w:rPr>
        <w:t xml:space="preserve">, </w:t>
      </w:r>
      <w:proofErr w:type="spellStart"/>
      <w:r w:rsidRPr="00880622">
        <w:rPr>
          <w:sz w:val="18"/>
          <w:szCs w:val="18"/>
        </w:rPr>
        <w:t>Nucleo</w:t>
      </w:r>
      <w:proofErr w:type="spellEnd"/>
      <w:r w:rsidRPr="00880622">
        <w:rPr>
          <w:sz w:val="18"/>
          <w:szCs w:val="18"/>
        </w:rPr>
        <w:t xml:space="preserve"> di </w:t>
      </w:r>
      <w:proofErr w:type="spellStart"/>
      <w:r w:rsidRPr="00880622">
        <w:rPr>
          <w:sz w:val="18"/>
          <w:szCs w:val="18"/>
        </w:rPr>
        <w:t>Valutazione</w:t>
      </w:r>
      <w:proofErr w:type="spellEnd"/>
      <w:r w:rsidRPr="00880622">
        <w:rPr>
          <w:sz w:val="18"/>
          <w:szCs w:val="18"/>
        </w:rPr>
        <w:t xml:space="preserve"> e </w:t>
      </w:r>
      <w:proofErr w:type="spellStart"/>
      <w:r w:rsidRPr="00880622">
        <w:rPr>
          <w:sz w:val="18"/>
          <w:szCs w:val="18"/>
        </w:rPr>
        <w:t>verifica</w:t>
      </w:r>
      <w:proofErr w:type="spellEnd"/>
      <w:r w:rsidRPr="00880622">
        <w:rPr>
          <w:sz w:val="18"/>
          <w:szCs w:val="18"/>
        </w:rPr>
        <w:t xml:space="preserve"> </w:t>
      </w:r>
      <w:proofErr w:type="spellStart"/>
      <w:r w:rsidRPr="00880622">
        <w:rPr>
          <w:sz w:val="18"/>
          <w:szCs w:val="18"/>
        </w:rPr>
        <w:t>degli</w:t>
      </w:r>
      <w:proofErr w:type="spellEnd"/>
      <w:r w:rsidRPr="00880622">
        <w:rPr>
          <w:sz w:val="18"/>
          <w:szCs w:val="18"/>
        </w:rPr>
        <w:t xml:space="preserve"> </w:t>
      </w:r>
      <w:proofErr w:type="spellStart"/>
      <w:r w:rsidRPr="00880622">
        <w:rPr>
          <w:sz w:val="18"/>
          <w:szCs w:val="18"/>
        </w:rPr>
        <w:t>investimenti</w:t>
      </w:r>
      <w:proofErr w:type="spellEnd"/>
      <w:r w:rsidRPr="00880622">
        <w:rPr>
          <w:sz w:val="18"/>
          <w:szCs w:val="18"/>
        </w:rPr>
        <w:t xml:space="preserve"> </w:t>
      </w:r>
      <w:proofErr w:type="spellStart"/>
      <w:r w:rsidRPr="00880622">
        <w:rPr>
          <w:sz w:val="18"/>
          <w:szCs w:val="18"/>
        </w:rPr>
        <w:t>pubblici</w:t>
      </w:r>
      <w:proofErr w:type="spellEnd"/>
      <w:r w:rsidRPr="00880622">
        <w:rPr>
          <w:sz w:val="18"/>
          <w:szCs w:val="18"/>
        </w:rPr>
        <w:t xml:space="preserve"> </w:t>
      </w:r>
      <w:proofErr w:type="spellStart"/>
      <w:r w:rsidRPr="00880622">
        <w:rPr>
          <w:sz w:val="18"/>
          <w:szCs w:val="18"/>
        </w:rPr>
        <w:t>Rapporto</w:t>
      </w:r>
      <w:proofErr w:type="spellEnd"/>
      <w:r w:rsidRPr="00880622">
        <w:rPr>
          <w:sz w:val="18"/>
          <w:szCs w:val="18"/>
        </w:rPr>
        <w:t xml:space="preserve"> di </w:t>
      </w:r>
      <w:proofErr w:type="spellStart"/>
      <w:r w:rsidRPr="00880622">
        <w:rPr>
          <w:sz w:val="18"/>
          <w:szCs w:val="18"/>
        </w:rPr>
        <w:t>valutazione</w:t>
      </w:r>
      <w:proofErr w:type="spellEnd"/>
      <w:r w:rsidRPr="00880622">
        <w:rPr>
          <w:sz w:val="18"/>
          <w:szCs w:val="18"/>
        </w:rPr>
        <w:t xml:space="preserve"> ex post programma di </w:t>
      </w:r>
      <w:proofErr w:type="spellStart"/>
      <w:r w:rsidRPr="00880622">
        <w:rPr>
          <w:sz w:val="18"/>
          <w:szCs w:val="18"/>
        </w:rPr>
        <w:t>cooperazione</w:t>
      </w:r>
      <w:proofErr w:type="spellEnd"/>
      <w:r w:rsidRPr="00880622">
        <w:rPr>
          <w:sz w:val="18"/>
          <w:szCs w:val="18"/>
        </w:rPr>
        <w:t xml:space="preserve"> </w:t>
      </w:r>
      <w:proofErr w:type="spellStart"/>
      <w:r w:rsidRPr="00880622">
        <w:rPr>
          <w:sz w:val="18"/>
          <w:szCs w:val="18"/>
        </w:rPr>
        <w:t>transfrontaliera</w:t>
      </w:r>
      <w:proofErr w:type="spellEnd"/>
      <w:r w:rsidRPr="00880622">
        <w:rPr>
          <w:sz w:val="18"/>
          <w:szCs w:val="18"/>
        </w:rPr>
        <w:t xml:space="preserve"> </w:t>
      </w:r>
      <w:proofErr w:type="spellStart"/>
      <w:r w:rsidRPr="00880622">
        <w:rPr>
          <w:sz w:val="18"/>
          <w:szCs w:val="18"/>
        </w:rPr>
        <w:t>Italia</w:t>
      </w:r>
      <w:proofErr w:type="spellEnd"/>
      <w:r w:rsidRPr="00880622">
        <w:rPr>
          <w:sz w:val="18"/>
          <w:szCs w:val="18"/>
        </w:rPr>
        <w:t xml:space="preserve"> </w:t>
      </w:r>
      <w:proofErr w:type="spellStart"/>
      <w:r w:rsidRPr="00880622">
        <w:rPr>
          <w:sz w:val="18"/>
          <w:szCs w:val="18"/>
        </w:rPr>
        <w:t>Tunisia</w:t>
      </w:r>
      <w:proofErr w:type="spellEnd"/>
      <w:r w:rsidRPr="00880622">
        <w:rPr>
          <w:sz w:val="18"/>
          <w:szCs w:val="18"/>
        </w:rPr>
        <w:t xml:space="preserve"> 2007-2013- Juin 2017</w:t>
      </w:r>
    </w:p>
  </w:footnote>
  <w:footnote w:id="9">
    <w:p w14:paraId="66151306" w14:textId="223E6695" w:rsidR="00B46730" w:rsidRPr="002D37D9" w:rsidRDefault="00B46730">
      <w:pPr>
        <w:pStyle w:val="Testonotaapidipagina"/>
        <w:rPr>
          <w:sz w:val="18"/>
          <w:szCs w:val="18"/>
        </w:rPr>
      </w:pPr>
      <w:r>
        <w:rPr>
          <w:rStyle w:val="Rimandonotaapidipagina"/>
        </w:rPr>
        <w:footnoteRef/>
      </w:r>
      <w:r w:rsidRPr="00984014">
        <w:rPr>
          <w:sz w:val="18"/>
          <w:szCs w:val="18"/>
        </w:rPr>
        <w:t xml:space="preserve"> Le</w:t>
      </w:r>
      <w:r>
        <w:t xml:space="preserve"> </w:t>
      </w:r>
      <w:r>
        <w:rPr>
          <w:sz w:val="18"/>
          <w:szCs w:val="18"/>
        </w:rPr>
        <w:t xml:space="preserve">Programme est décliné en 3 Objectifs Thématiques </w:t>
      </w:r>
      <w:r w:rsidRPr="00984014">
        <w:rPr>
          <w:sz w:val="18"/>
          <w:szCs w:val="18"/>
        </w:rPr>
        <w:t xml:space="preserve">OT1. Développement des </w:t>
      </w:r>
      <w:proofErr w:type="spellStart"/>
      <w:r w:rsidRPr="00984014">
        <w:rPr>
          <w:sz w:val="18"/>
          <w:szCs w:val="18"/>
        </w:rPr>
        <w:t>PMEs</w:t>
      </w:r>
      <w:proofErr w:type="spellEnd"/>
      <w:r w:rsidRPr="00984014">
        <w:rPr>
          <w:sz w:val="18"/>
          <w:szCs w:val="18"/>
        </w:rPr>
        <w:t xml:space="preserve"> et de l’entreprenariat ; OT2. Soutien à l’éducation, la recherche, le développement technologique e l’innovation ; O3 Protection de l’environnement et adaptation au changement climatiques</w:t>
      </w:r>
    </w:p>
  </w:footnote>
  <w:footnote w:id="10">
    <w:p w14:paraId="62BF8566" w14:textId="26E038F2" w:rsidR="00B46730" w:rsidRPr="002D37D9" w:rsidRDefault="00B46730">
      <w:pPr>
        <w:pStyle w:val="Testonotaapidipagina"/>
      </w:pPr>
      <w:r>
        <w:rPr>
          <w:rStyle w:val="Rimandonotaapidipagina"/>
        </w:rPr>
        <w:footnoteRef/>
      </w:r>
      <w:r w:rsidRPr="00FF76EA">
        <w:rPr>
          <w:sz w:val="18"/>
          <w:szCs w:val="18"/>
        </w:rPr>
        <w:t xml:space="preserve"> Les</w:t>
      </w:r>
      <w:r>
        <w:rPr>
          <w:sz w:val="18"/>
          <w:szCs w:val="18"/>
        </w:rPr>
        <w:t xml:space="preserve"> projets stratégiques ont démarrés entre décembre 2021 et janvier 2022</w:t>
      </w:r>
    </w:p>
  </w:footnote>
  <w:footnote w:id="11">
    <w:p w14:paraId="2CE18DF7" w14:textId="77777777" w:rsidR="00B46730" w:rsidRPr="002D37D9" w:rsidRDefault="00B46730" w:rsidP="00033AF0">
      <w:pPr>
        <w:pStyle w:val="Testonotaapidipagina"/>
        <w:rPr>
          <w:sz w:val="18"/>
          <w:szCs w:val="18"/>
        </w:rPr>
      </w:pPr>
      <w:r>
        <w:rPr>
          <w:rStyle w:val="Rimandonotaapidipagina"/>
        </w:rPr>
        <w:footnoteRef/>
      </w:r>
      <w:r>
        <w:t xml:space="preserve"> </w:t>
      </w:r>
      <w:r w:rsidRPr="00DC4069">
        <w:rPr>
          <w:sz w:val="18"/>
          <w:szCs w:val="18"/>
        </w:rPr>
        <w:t>À la suite de l'annonce faite par la présidente </w:t>
      </w:r>
      <w:r w:rsidRPr="006E53F4">
        <w:rPr>
          <w:bCs/>
          <w:sz w:val="18"/>
          <w:szCs w:val="18"/>
        </w:rPr>
        <w:t>Von der </w:t>
      </w:r>
      <w:proofErr w:type="spellStart"/>
      <w:r w:rsidRPr="006E53F4">
        <w:rPr>
          <w:bCs/>
          <w:sz w:val="18"/>
          <w:szCs w:val="18"/>
        </w:rPr>
        <w:t>Leyen</w:t>
      </w:r>
      <w:proofErr w:type="spellEnd"/>
      <w:r w:rsidRPr="006E53F4">
        <w:rPr>
          <w:sz w:val="18"/>
          <w:szCs w:val="18"/>
        </w:rPr>
        <w:t> </w:t>
      </w:r>
      <w:r w:rsidRPr="00DC4069">
        <w:rPr>
          <w:sz w:val="18"/>
          <w:szCs w:val="18"/>
        </w:rPr>
        <w:t>dans son discours sur l’état de l’Union, la Commission a adopté ce jour sa proposition officielle visant à faire de 2022 l'Année européenne de la jeunesse</w:t>
      </w:r>
      <w:r w:rsidRPr="002D37D9">
        <w:rPr>
          <w:sz w:val="18"/>
          <w:szCs w:val="18"/>
        </w:rPr>
        <w:t>. </w:t>
      </w:r>
    </w:p>
    <w:p w14:paraId="640FFCDE" w14:textId="77777777" w:rsidR="00B46730" w:rsidRPr="002D37D9" w:rsidRDefault="00B46730" w:rsidP="00033AF0">
      <w:pPr>
        <w:pStyle w:val="Testonotaapidipagina"/>
        <w:rPr>
          <w:sz w:val="18"/>
          <w:szCs w:val="18"/>
        </w:rPr>
      </w:pPr>
    </w:p>
  </w:footnote>
  <w:footnote w:id="12">
    <w:p w14:paraId="3CDDFE89" w14:textId="73BC38F9" w:rsidR="00B46730" w:rsidRPr="002D37D9" w:rsidRDefault="00B46730" w:rsidP="00DC4069">
      <w:pPr>
        <w:pStyle w:val="Testonotaapidipagina"/>
        <w:rPr>
          <w:sz w:val="18"/>
          <w:szCs w:val="18"/>
        </w:rPr>
      </w:pPr>
      <w:r>
        <w:rPr>
          <w:rStyle w:val="Rimandonotaapidipagina"/>
        </w:rPr>
        <w:footnoteRef/>
      </w:r>
      <w:r>
        <w:t xml:space="preserve"> </w:t>
      </w:r>
      <w:r w:rsidRPr="00DC4069">
        <w:rPr>
          <w:sz w:val="18"/>
          <w:szCs w:val="18"/>
        </w:rPr>
        <w:t>À la suite de l'annonce faite par la présidente </w:t>
      </w:r>
      <w:r w:rsidRPr="006E53F4">
        <w:rPr>
          <w:bCs/>
          <w:sz w:val="18"/>
          <w:szCs w:val="18"/>
        </w:rPr>
        <w:t>Von der </w:t>
      </w:r>
      <w:proofErr w:type="spellStart"/>
      <w:r w:rsidRPr="006E53F4">
        <w:rPr>
          <w:bCs/>
          <w:sz w:val="18"/>
          <w:szCs w:val="18"/>
        </w:rPr>
        <w:t>Leyen</w:t>
      </w:r>
      <w:proofErr w:type="spellEnd"/>
      <w:r w:rsidRPr="006E53F4">
        <w:rPr>
          <w:sz w:val="18"/>
          <w:szCs w:val="18"/>
        </w:rPr>
        <w:t> </w:t>
      </w:r>
      <w:r w:rsidRPr="00DC4069">
        <w:rPr>
          <w:sz w:val="18"/>
          <w:szCs w:val="18"/>
        </w:rPr>
        <w:t>dans son discours sur l’état de l’Union, la Commission a adopté ce jour sa proposition officielle visant à faire de 2022 l'Année européenne de la jeunesse</w:t>
      </w:r>
      <w:r w:rsidRPr="002D37D9">
        <w:rPr>
          <w:sz w:val="18"/>
          <w:szCs w:val="18"/>
        </w:rPr>
        <w:t>. </w:t>
      </w:r>
    </w:p>
    <w:p w14:paraId="33342472" w14:textId="3C3923AB" w:rsidR="00B46730" w:rsidRPr="002D37D9" w:rsidRDefault="00B46730">
      <w:pPr>
        <w:pStyle w:val="Testonotaapidipagina"/>
        <w:rPr>
          <w:sz w:val="18"/>
          <w:szCs w:val="18"/>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E0" w:firstRow="1" w:lastRow="1" w:firstColumn="1" w:lastColumn="0" w:noHBand="0" w:noVBand="1"/>
    </w:tblPr>
    <w:tblGrid>
      <w:gridCol w:w="2093"/>
      <w:gridCol w:w="4043"/>
      <w:gridCol w:w="1701"/>
      <w:gridCol w:w="1590"/>
    </w:tblGrid>
    <w:tr w:rsidR="00B46730" w:rsidRPr="00C37FC7" w14:paraId="350921FD" w14:textId="77777777" w:rsidTr="002755D5">
      <w:tc>
        <w:tcPr>
          <w:tcW w:w="2093" w:type="dxa"/>
          <w:shd w:val="clear" w:color="auto" w:fill="auto"/>
        </w:tcPr>
        <w:p w14:paraId="207E26C2" w14:textId="77777777" w:rsidR="00B46730" w:rsidRPr="00882960" w:rsidRDefault="00B46730" w:rsidP="002755D5">
          <w:pPr>
            <w:jc w:val="center"/>
            <w:rPr>
              <w:rFonts w:ascii="Gill Sans MT" w:hAnsi="Gill Sans MT"/>
              <w:b/>
              <w:bCs/>
              <w:color w:val="000000"/>
              <w:sz w:val="32"/>
              <w:szCs w:val="32"/>
            </w:rPr>
          </w:pPr>
          <w:r w:rsidRPr="00882960">
            <w:rPr>
              <w:rFonts w:ascii="Gill Sans MT" w:hAnsi="Gill Sans MT"/>
              <w:noProof/>
              <w:lang w:val="it-IT"/>
            </w:rPr>
            <w:drawing>
              <wp:inline distT="0" distB="0" distL="0" distR="0" wp14:anchorId="47D2655C" wp14:editId="6D8766EA">
                <wp:extent cx="809625" cy="542925"/>
                <wp:effectExtent l="0" t="0" r="9525" b="9525"/>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542925"/>
                        </a:xfrm>
                        <a:prstGeom prst="rect">
                          <a:avLst/>
                        </a:prstGeom>
                        <a:noFill/>
                        <a:ln>
                          <a:noFill/>
                        </a:ln>
                      </pic:spPr>
                    </pic:pic>
                  </a:graphicData>
                </a:graphic>
              </wp:inline>
            </w:drawing>
          </w:r>
        </w:p>
        <w:p w14:paraId="22A1B3A6" w14:textId="77777777" w:rsidR="00B46730" w:rsidRPr="00882960" w:rsidRDefault="00B46730" w:rsidP="002755D5">
          <w:pPr>
            <w:jc w:val="center"/>
            <w:rPr>
              <w:rFonts w:ascii="Gill Sans MT" w:hAnsi="Gill Sans MT"/>
              <w:b/>
              <w:bCs/>
              <w:color w:val="000000"/>
              <w:sz w:val="32"/>
              <w:szCs w:val="32"/>
            </w:rPr>
          </w:pPr>
          <w:r w:rsidRPr="00882960">
            <w:rPr>
              <w:rFonts w:ascii="Gill Sans MT" w:hAnsi="Gill Sans MT"/>
              <w:bCs/>
              <w:color w:val="000000"/>
              <w:sz w:val="16"/>
              <w:szCs w:val="16"/>
            </w:rPr>
            <w:t>Programme cofinancé par</w:t>
          </w:r>
          <w:r w:rsidRPr="00882960">
            <w:rPr>
              <w:rFonts w:ascii="Gill Sans MT" w:hAnsi="Gill Sans MT"/>
              <w:b/>
              <w:bCs/>
              <w:color w:val="000000"/>
              <w:sz w:val="16"/>
              <w:szCs w:val="16"/>
            </w:rPr>
            <w:t xml:space="preserve"> </w:t>
          </w:r>
          <w:r w:rsidRPr="00882960">
            <w:rPr>
              <w:rFonts w:ascii="Gill Sans MT" w:hAnsi="Gill Sans MT"/>
              <w:bCs/>
              <w:color w:val="000000"/>
              <w:sz w:val="16"/>
              <w:szCs w:val="16"/>
            </w:rPr>
            <w:t>l’</w:t>
          </w:r>
          <w:r w:rsidRPr="00882960">
            <w:rPr>
              <w:rFonts w:ascii="Gill Sans MT" w:hAnsi="Gill Sans MT"/>
              <w:b/>
              <w:bCs/>
              <w:color w:val="000000"/>
              <w:sz w:val="16"/>
              <w:szCs w:val="16"/>
            </w:rPr>
            <w:t>Union Européenne</w:t>
          </w:r>
        </w:p>
      </w:tc>
      <w:tc>
        <w:tcPr>
          <w:tcW w:w="4043" w:type="dxa"/>
          <w:shd w:val="clear" w:color="auto" w:fill="auto"/>
        </w:tcPr>
        <w:p w14:paraId="3075B29C" w14:textId="77777777" w:rsidR="00B46730" w:rsidRPr="00882960" w:rsidRDefault="00B46730" w:rsidP="002755D5">
          <w:pPr>
            <w:jc w:val="right"/>
            <w:rPr>
              <w:rFonts w:ascii="Gill Sans MT" w:hAnsi="Gill Sans MT"/>
              <w:b/>
              <w:bCs/>
              <w:color w:val="000000"/>
              <w:sz w:val="32"/>
              <w:szCs w:val="32"/>
            </w:rPr>
          </w:pPr>
          <w:r w:rsidRPr="00882960">
            <w:rPr>
              <w:rFonts w:ascii="Gill Sans MT" w:eastAsia="Verdana" w:hAnsi="Gill Sans MT" w:cs="Tahoma"/>
              <w:noProof/>
              <w:color w:val="5F5F5F"/>
              <w:lang w:val="it-IT"/>
            </w:rPr>
            <w:drawing>
              <wp:inline distT="0" distB="0" distL="0" distR="0" wp14:anchorId="7E841FCE" wp14:editId="2DC52B55">
                <wp:extent cx="1533525" cy="762000"/>
                <wp:effectExtent l="0" t="0" r="9525" b="0"/>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3525" cy="762000"/>
                        </a:xfrm>
                        <a:prstGeom prst="rect">
                          <a:avLst/>
                        </a:prstGeom>
                        <a:noFill/>
                        <a:ln>
                          <a:noFill/>
                        </a:ln>
                      </pic:spPr>
                    </pic:pic>
                  </a:graphicData>
                </a:graphic>
              </wp:inline>
            </w:drawing>
          </w:r>
          <w:r w:rsidRPr="00882960">
            <w:rPr>
              <w:rFonts w:ascii="Gill Sans MT" w:eastAsia="Verdana" w:hAnsi="Gill Sans MT" w:cs="Tahoma"/>
              <w:noProof/>
              <w:color w:val="5F5F5F"/>
            </w:rPr>
            <w:t xml:space="preserve">     </w:t>
          </w:r>
          <w:r w:rsidRPr="00882960">
            <w:rPr>
              <w:rFonts w:ascii="Gill Sans MT" w:hAnsi="Gill Sans MT"/>
              <w:noProof/>
              <w:lang w:val="it-IT"/>
            </w:rPr>
            <w:drawing>
              <wp:inline distT="0" distB="0" distL="0" distR="0" wp14:anchorId="001C1B59" wp14:editId="5151D30A">
                <wp:extent cx="609600" cy="685800"/>
                <wp:effectExtent l="0" t="0" r="0" b="0"/>
                <wp:docPr id="28" name="Immagine 28" descr="M:\2014-2020\17_COMUNICAZIONE\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7" descr="M:\2014-2020\17_COMUNICAZIONE\download.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inline>
            </w:drawing>
          </w:r>
        </w:p>
      </w:tc>
      <w:tc>
        <w:tcPr>
          <w:tcW w:w="1701" w:type="dxa"/>
          <w:shd w:val="clear" w:color="auto" w:fill="auto"/>
        </w:tcPr>
        <w:p w14:paraId="2E51D334" w14:textId="77777777" w:rsidR="00B46730" w:rsidRPr="00882960" w:rsidRDefault="00B46730" w:rsidP="002755D5">
          <w:pPr>
            <w:rPr>
              <w:rFonts w:ascii="Gill Sans MT" w:hAnsi="Gill Sans MT"/>
              <w:b/>
              <w:bCs/>
              <w:color w:val="000000"/>
              <w:sz w:val="32"/>
              <w:szCs w:val="32"/>
            </w:rPr>
          </w:pPr>
          <w:r w:rsidRPr="00882960">
            <w:rPr>
              <w:rFonts w:ascii="Gill Sans MT" w:hAnsi="Gill Sans MT"/>
              <w:noProof/>
              <w:lang w:val="it-IT"/>
            </w:rPr>
            <w:drawing>
              <wp:inline distT="0" distB="0" distL="0" distR="0" wp14:anchorId="4B19F8D5" wp14:editId="3E6BCF35">
                <wp:extent cx="819150" cy="533400"/>
                <wp:effectExtent l="0" t="0" r="0" b="0"/>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19150" cy="533400"/>
                        </a:xfrm>
                        <a:prstGeom prst="rect">
                          <a:avLst/>
                        </a:prstGeom>
                        <a:noFill/>
                        <a:ln>
                          <a:noFill/>
                        </a:ln>
                      </pic:spPr>
                    </pic:pic>
                  </a:graphicData>
                </a:graphic>
              </wp:inline>
            </w:drawing>
          </w:r>
        </w:p>
      </w:tc>
      <w:tc>
        <w:tcPr>
          <w:tcW w:w="1590" w:type="dxa"/>
          <w:shd w:val="clear" w:color="auto" w:fill="auto"/>
        </w:tcPr>
        <w:p w14:paraId="14204524" w14:textId="77777777" w:rsidR="00B46730" w:rsidRPr="00882960" w:rsidRDefault="00B46730" w:rsidP="002755D5">
          <w:pPr>
            <w:rPr>
              <w:rFonts w:ascii="Gill Sans MT" w:hAnsi="Gill Sans MT"/>
              <w:b/>
              <w:bCs/>
              <w:color w:val="000000"/>
              <w:sz w:val="32"/>
              <w:szCs w:val="32"/>
            </w:rPr>
          </w:pPr>
          <w:r w:rsidRPr="00882960">
            <w:rPr>
              <w:rFonts w:ascii="Gill Sans MT" w:hAnsi="Gill Sans MT"/>
              <w:noProof/>
              <w:lang w:val="it-IT"/>
            </w:rPr>
            <w:drawing>
              <wp:inline distT="0" distB="0" distL="0" distR="0" wp14:anchorId="48F8F733" wp14:editId="12303C4B">
                <wp:extent cx="495300" cy="638175"/>
                <wp:effectExtent l="0" t="0" r="0" b="9525"/>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38175"/>
                        </a:xfrm>
                        <a:prstGeom prst="rect">
                          <a:avLst/>
                        </a:prstGeom>
                        <a:noFill/>
                        <a:ln>
                          <a:noFill/>
                        </a:ln>
                      </pic:spPr>
                    </pic:pic>
                  </a:graphicData>
                </a:graphic>
              </wp:inline>
            </w:drawing>
          </w:r>
        </w:p>
      </w:tc>
    </w:tr>
  </w:tbl>
  <w:p w14:paraId="3A69AB52" w14:textId="77777777" w:rsidR="00B46730" w:rsidRDefault="00B46730">
    <w:pPr>
      <w:pStyle w:val="Intestazion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E0" w:firstRow="1" w:lastRow="1" w:firstColumn="1" w:lastColumn="0" w:noHBand="0" w:noVBand="1"/>
    </w:tblPr>
    <w:tblGrid>
      <w:gridCol w:w="2093"/>
      <w:gridCol w:w="4043"/>
      <w:gridCol w:w="1701"/>
      <w:gridCol w:w="1590"/>
    </w:tblGrid>
    <w:tr w:rsidR="00B46730" w:rsidRPr="00C37FC7" w14:paraId="06598D8D" w14:textId="77777777" w:rsidTr="00344B1E">
      <w:tc>
        <w:tcPr>
          <w:tcW w:w="2093" w:type="dxa"/>
          <w:shd w:val="clear" w:color="auto" w:fill="auto"/>
        </w:tcPr>
        <w:p w14:paraId="7BBCA50C" w14:textId="77777777" w:rsidR="00B46730" w:rsidRPr="00882960" w:rsidRDefault="00B46730" w:rsidP="00344B1E">
          <w:pPr>
            <w:jc w:val="center"/>
            <w:rPr>
              <w:rFonts w:ascii="Gill Sans MT" w:hAnsi="Gill Sans MT"/>
              <w:b/>
              <w:bCs/>
              <w:color w:val="000000"/>
              <w:sz w:val="32"/>
              <w:szCs w:val="32"/>
            </w:rPr>
          </w:pPr>
          <w:r w:rsidRPr="00882960">
            <w:rPr>
              <w:rFonts w:ascii="Gill Sans MT" w:hAnsi="Gill Sans MT"/>
              <w:noProof/>
              <w:lang w:val="it-IT"/>
            </w:rPr>
            <w:drawing>
              <wp:inline distT="0" distB="0" distL="0" distR="0" wp14:anchorId="34980575" wp14:editId="47162BED">
                <wp:extent cx="809625" cy="542925"/>
                <wp:effectExtent l="0" t="0" r="9525"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542925"/>
                        </a:xfrm>
                        <a:prstGeom prst="rect">
                          <a:avLst/>
                        </a:prstGeom>
                        <a:noFill/>
                        <a:ln>
                          <a:noFill/>
                        </a:ln>
                      </pic:spPr>
                    </pic:pic>
                  </a:graphicData>
                </a:graphic>
              </wp:inline>
            </w:drawing>
          </w:r>
        </w:p>
        <w:p w14:paraId="0F14ACEE" w14:textId="77777777" w:rsidR="00B46730" w:rsidRPr="00882960" w:rsidRDefault="00B46730" w:rsidP="00344B1E">
          <w:pPr>
            <w:jc w:val="center"/>
            <w:rPr>
              <w:rFonts w:ascii="Gill Sans MT" w:hAnsi="Gill Sans MT"/>
              <w:b/>
              <w:bCs/>
              <w:color w:val="000000"/>
              <w:sz w:val="32"/>
              <w:szCs w:val="32"/>
            </w:rPr>
          </w:pPr>
          <w:r w:rsidRPr="00882960">
            <w:rPr>
              <w:rFonts w:ascii="Gill Sans MT" w:hAnsi="Gill Sans MT"/>
              <w:bCs/>
              <w:color w:val="000000"/>
              <w:sz w:val="16"/>
              <w:szCs w:val="16"/>
            </w:rPr>
            <w:t>Programme cofinancé par</w:t>
          </w:r>
          <w:r w:rsidRPr="00882960">
            <w:rPr>
              <w:rFonts w:ascii="Gill Sans MT" w:hAnsi="Gill Sans MT"/>
              <w:b/>
              <w:bCs/>
              <w:color w:val="000000"/>
              <w:sz w:val="16"/>
              <w:szCs w:val="16"/>
            </w:rPr>
            <w:t xml:space="preserve"> </w:t>
          </w:r>
          <w:r w:rsidRPr="00882960">
            <w:rPr>
              <w:rFonts w:ascii="Gill Sans MT" w:hAnsi="Gill Sans MT"/>
              <w:bCs/>
              <w:color w:val="000000"/>
              <w:sz w:val="16"/>
              <w:szCs w:val="16"/>
            </w:rPr>
            <w:t>l’</w:t>
          </w:r>
          <w:r w:rsidRPr="00882960">
            <w:rPr>
              <w:rFonts w:ascii="Gill Sans MT" w:hAnsi="Gill Sans MT"/>
              <w:b/>
              <w:bCs/>
              <w:color w:val="000000"/>
              <w:sz w:val="16"/>
              <w:szCs w:val="16"/>
            </w:rPr>
            <w:t>Union Européenne</w:t>
          </w:r>
        </w:p>
      </w:tc>
      <w:tc>
        <w:tcPr>
          <w:tcW w:w="4043" w:type="dxa"/>
          <w:shd w:val="clear" w:color="auto" w:fill="auto"/>
        </w:tcPr>
        <w:p w14:paraId="273AEBC5" w14:textId="77777777" w:rsidR="00B46730" w:rsidRPr="00882960" w:rsidRDefault="00B46730" w:rsidP="00344B1E">
          <w:pPr>
            <w:jc w:val="right"/>
            <w:rPr>
              <w:rFonts w:ascii="Gill Sans MT" w:hAnsi="Gill Sans MT"/>
              <w:b/>
              <w:bCs/>
              <w:color w:val="000000"/>
              <w:sz w:val="32"/>
              <w:szCs w:val="32"/>
            </w:rPr>
          </w:pPr>
          <w:r w:rsidRPr="00882960">
            <w:rPr>
              <w:rFonts w:ascii="Gill Sans MT" w:eastAsia="Verdana" w:hAnsi="Gill Sans MT" w:cs="Tahoma"/>
              <w:noProof/>
              <w:color w:val="5F5F5F"/>
              <w:lang w:val="it-IT"/>
            </w:rPr>
            <w:drawing>
              <wp:inline distT="0" distB="0" distL="0" distR="0" wp14:anchorId="389FF572" wp14:editId="6B97E1CA">
                <wp:extent cx="1533525" cy="762000"/>
                <wp:effectExtent l="0" t="0" r="952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3525" cy="762000"/>
                        </a:xfrm>
                        <a:prstGeom prst="rect">
                          <a:avLst/>
                        </a:prstGeom>
                        <a:noFill/>
                        <a:ln>
                          <a:noFill/>
                        </a:ln>
                      </pic:spPr>
                    </pic:pic>
                  </a:graphicData>
                </a:graphic>
              </wp:inline>
            </w:drawing>
          </w:r>
          <w:r w:rsidRPr="00882960">
            <w:rPr>
              <w:rFonts w:ascii="Gill Sans MT" w:eastAsia="Verdana" w:hAnsi="Gill Sans MT" w:cs="Tahoma"/>
              <w:noProof/>
              <w:color w:val="5F5F5F"/>
            </w:rPr>
            <w:t xml:space="preserve">     </w:t>
          </w:r>
          <w:r w:rsidRPr="00882960">
            <w:rPr>
              <w:rFonts w:ascii="Gill Sans MT" w:hAnsi="Gill Sans MT"/>
              <w:noProof/>
              <w:lang w:val="it-IT"/>
            </w:rPr>
            <w:drawing>
              <wp:inline distT="0" distB="0" distL="0" distR="0" wp14:anchorId="3CBDF83F" wp14:editId="5EE95816">
                <wp:extent cx="609600" cy="685800"/>
                <wp:effectExtent l="0" t="0" r="0" b="0"/>
                <wp:docPr id="6" name="Immagine 6" descr="M:\2014-2020\17_COMUNICAZIONE\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7" descr="M:\2014-2020\17_COMUNICAZIONE\download.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inline>
            </w:drawing>
          </w:r>
        </w:p>
      </w:tc>
      <w:tc>
        <w:tcPr>
          <w:tcW w:w="1701" w:type="dxa"/>
          <w:shd w:val="clear" w:color="auto" w:fill="auto"/>
        </w:tcPr>
        <w:p w14:paraId="1A73BF15" w14:textId="77777777" w:rsidR="00B46730" w:rsidRPr="00882960" w:rsidRDefault="00B46730" w:rsidP="00344B1E">
          <w:pPr>
            <w:rPr>
              <w:rFonts w:ascii="Gill Sans MT" w:hAnsi="Gill Sans MT"/>
              <w:b/>
              <w:bCs/>
              <w:color w:val="000000"/>
              <w:sz w:val="32"/>
              <w:szCs w:val="32"/>
            </w:rPr>
          </w:pPr>
          <w:r w:rsidRPr="00882960">
            <w:rPr>
              <w:rFonts w:ascii="Gill Sans MT" w:hAnsi="Gill Sans MT"/>
              <w:noProof/>
              <w:lang w:val="it-IT"/>
            </w:rPr>
            <w:drawing>
              <wp:inline distT="0" distB="0" distL="0" distR="0" wp14:anchorId="38E51D9B" wp14:editId="48ADA670">
                <wp:extent cx="819150" cy="53340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19150" cy="533400"/>
                        </a:xfrm>
                        <a:prstGeom prst="rect">
                          <a:avLst/>
                        </a:prstGeom>
                        <a:noFill/>
                        <a:ln>
                          <a:noFill/>
                        </a:ln>
                      </pic:spPr>
                    </pic:pic>
                  </a:graphicData>
                </a:graphic>
              </wp:inline>
            </w:drawing>
          </w:r>
        </w:p>
      </w:tc>
      <w:tc>
        <w:tcPr>
          <w:tcW w:w="1590" w:type="dxa"/>
          <w:shd w:val="clear" w:color="auto" w:fill="auto"/>
        </w:tcPr>
        <w:p w14:paraId="65764C4A" w14:textId="77777777" w:rsidR="00B46730" w:rsidRPr="00882960" w:rsidRDefault="00B46730" w:rsidP="00344B1E">
          <w:pPr>
            <w:rPr>
              <w:rFonts w:ascii="Gill Sans MT" w:hAnsi="Gill Sans MT"/>
              <w:b/>
              <w:bCs/>
              <w:color w:val="000000"/>
              <w:sz w:val="32"/>
              <w:szCs w:val="32"/>
            </w:rPr>
          </w:pPr>
          <w:r w:rsidRPr="00882960">
            <w:rPr>
              <w:rFonts w:ascii="Gill Sans MT" w:hAnsi="Gill Sans MT"/>
              <w:noProof/>
              <w:lang w:val="it-IT"/>
            </w:rPr>
            <w:drawing>
              <wp:inline distT="0" distB="0" distL="0" distR="0" wp14:anchorId="48D6FC71" wp14:editId="7A9F4826">
                <wp:extent cx="495300" cy="638175"/>
                <wp:effectExtent l="0" t="0" r="0" b="952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38175"/>
                        </a:xfrm>
                        <a:prstGeom prst="rect">
                          <a:avLst/>
                        </a:prstGeom>
                        <a:noFill/>
                        <a:ln>
                          <a:noFill/>
                        </a:ln>
                      </pic:spPr>
                    </pic:pic>
                  </a:graphicData>
                </a:graphic>
              </wp:inline>
            </w:drawing>
          </w:r>
        </w:p>
      </w:tc>
    </w:tr>
  </w:tbl>
  <w:p w14:paraId="722FF10A" w14:textId="77777777" w:rsidR="00B46730" w:rsidRDefault="00B46730">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937FF0"/>
    <w:multiLevelType w:val="multilevel"/>
    <w:tmpl w:val="05AE689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028A0D38"/>
    <w:multiLevelType w:val="multilevel"/>
    <w:tmpl w:val="7160DA94"/>
    <w:lvl w:ilvl="0">
      <w:start w:val="2"/>
      <w:numFmt w:val="decimal"/>
      <w:lvlText w:val="%1"/>
      <w:lvlJc w:val="left"/>
      <w:pPr>
        <w:ind w:left="360" w:hanging="360"/>
      </w:pPr>
      <w:rPr>
        <w:rFonts w:hint="default"/>
      </w:rPr>
    </w:lvl>
    <w:lvl w:ilvl="1">
      <w:start w:val="2"/>
      <w:numFmt w:val="none"/>
      <w:lvlText w:val="2.1"/>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nsid w:val="034820B4"/>
    <w:multiLevelType w:val="hybridMultilevel"/>
    <w:tmpl w:val="0456D6CA"/>
    <w:lvl w:ilvl="0" w:tplc="151E7014">
      <w:start w:val="2"/>
      <w:numFmt w:val="decimal"/>
      <w:lvlText w:val="%1."/>
      <w:lvlJc w:val="left"/>
      <w:pPr>
        <w:ind w:left="800" w:hanging="360"/>
      </w:pPr>
      <w:rPr>
        <w:rFonts w:hint="default"/>
      </w:rPr>
    </w:lvl>
    <w:lvl w:ilvl="1" w:tplc="04100019" w:tentative="1">
      <w:start w:val="1"/>
      <w:numFmt w:val="lowerLetter"/>
      <w:lvlText w:val="%2."/>
      <w:lvlJc w:val="left"/>
      <w:pPr>
        <w:ind w:left="1520" w:hanging="360"/>
      </w:pPr>
    </w:lvl>
    <w:lvl w:ilvl="2" w:tplc="0410001B" w:tentative="1">
      <w:start w:val="1"/>
      <w:numFmt w:val="lowerRoman"/>
      <w:lvlText w:val="%3."/>
      <w:lvlJc w:val="right"/>
      <w:pPr>
        <w:ind w:left="2240" w:hanging="180"/>
      </w:pPr>
    </w:lvl>
    <w:lvl w:ilvl="3" w:tplc="0410000F" w:tentative="1">
      <w:start w:val="1"/>
      <w:numFmt w:val="decimal"/>
      <w:lvlText w:val="%4."/>
      <w:lvlJc w:val="left"/>
      <w:pPr>
        <w:ind w:left="2960" w:hanging="360"/>
      </w:pPr>
    </w:lvl>
    <w:lvl w:ilvl="4" w:tplc="04100019" w:tentative="1">
      <w:start w:val="1"/>
      <w:numFmt w:val="lowerLetter"/>
      <w:lvlText w:val="%5."/>
      <w:lvlJc w:val="left"/>
      <w:pPr>
        <w:ind w:left="3680" w:hanging="360"/>
      </w:pPr>
    </w:lvl>
    <w:lvl w:ilvl="5" w:tplc="0410001B" w:tentative="1">
      <w:start w:val="1"/>
      <w:numFmt w:val="lowerRoman"/>
      <w:lvlText w:val="%6."/>
      <w:lvlJc w:val="right"/>
      <w:pPr>
        <w:ind w:left="4400" w:hanging="180"/>
      </w:pPr>
    </w:lvl>
    <w:lvl w:ilvl="6" w:tplc="0410000F" w:tentative="1">
      <w:start w:val="1"/>
      <w:numFmt w:val="decimal"/>
      <w:lvlText w:val="%7."/>
      <w:lvlJc w:val="left"/>
      <w:pPr>
        <w:ind w:left="5120" w:hanging="360"/>
      </w:pPr>
    </w:lvl>
    <w:lvl w:ilvl="7" w:tplc="04100019" w:tentative="1">
      <w:start w:val="1"/>
      <w:numFmt w:val="lowerLetter"/>
      <w:lvlText w:val="%8."/>
      <w:lvlJc w:val="left"/>
      <w:pPr>
        <w:ind w:left="5840" w:hanging="360"/>
      </w:pPr>
    </w:lvl>
    <w:lvl w:ilvl="8" w:tplc="0410001B" w:tentative="1">
      <w:start w:val="1"/>
      <w:numFmt w:val="lowerRoman"/>
      <w:lvlText w:val="%9."/>
      <w:lvlJc w:val="right"/>
      <w:pPr>
        <w:ind w:left="6560" w:hanging="180"/>
      </w:pPr>
    </w:lvl>
  </w:abstractNum>
  <w:abstractNum w:abstractNumId="4">
    <w:nsid w:val="052C2449"/>
    <w:multiLevelType w:val="multilevel"/>
    <w:tmpl w:val="9524EF5E"/>
    <w:lvl w:ilvl="0">
      <w:start w:val="1"/>
      <w:numFmt w:val="none"/>
      <w:lvlText w:val="1."/>
      <w:lvlJc w:val="left"/>
      <w:pPr>
        <w:ind w:left="800" w:hanging="360"/>
      </w:pPr>
      <w:rPr>
        <w:rFonts w:hint="default"/>
      </w:rPr>
    </w:lvl>
    <w:lvl w:ilvl="1">
      <w:start w:val="1"/>
      <w:numFmt w:val="lowerLetter"/>
      <w:lvlText w:val="%2."/>
      <w:lvlJc w:val="left"/>
      <w:pPr>
        <w:ind w:left="1520" w:hanging="360"/>
      </w:pPr>
    </w:lvl>
    <w:lvl w:ilvl="2">
      <w:start w:val="1"/>
      <w:numFmt w:val="lowerRoman"/>
      <w:lvlText w:val="%3."/>
      <w:lvlJc w:val="right"/>
      <w:pPr>
        <w:ind w:left="2240" w:hanging="180"/>
      </w:pPr>
    </w:lvl>
    <w:lvl w:ilvl="3">
      <w:start w:val="1"/>
      <w:numFmt w:val="decimal"/>
      <w:lvlText w:val="%4."/>
      <w:lvlJc w:val="left"/>
      <w:pPr>
        <w:ind w:left="2960" w:hanging="360"/>
      </w:pPr>
    </w:lvl>
    <w:lvl w:ilvl="4">
      <w:start w:val="1"/>
      <w:numFmt w:val="lowerLetter"/>
      <w:lvlText w:val="%5."/>
      <w:lvlJc w:val="left"/>
      <w:pPr>
        <w:ind w:left="3680" w:hanging="360"/>
      </w:pPr>
    </w:lvl>
    <w:lvl w:ilvl="5">
      <w:start w:val="1"/>
      <w:numFmt w:val="lowerRoman"/>
      <w:lvlText w:val="%6."/>
      <w:lvlJc w:val="right"/>
      <w:pPr>
        <w:ind w:left="4400" w:hanging="180"/>
      </w:pPr>
    </w:lvl>
    <w:lvl w:ilvl="6">
      <w:start w:val="1"/>
      <w:numFmt w:val="decimal"/>
      <w:lvlText w:val="%7."/>
      <w:lvlJc w:val="left"/>
      <w:pPr>
        <w:ind w:left="5120" w:hanging="360"/>
      </w:pPr>
    </w:lvl>
    <w:lvl w:ilvl="7">
      <w:start w:val="1"/>
      <w:numFmt w:val="lowerLetter"/>
      <w:lvlText w:val="%8."/>
      <w:lvlJc w:val="left"/>
      <w:pPr>
        <w:ind w:left="5840" w:hanging="360"/>
      </w:pPr>
    </w:lvl>
    <w:lvl w:ilvl="8">
      <w:start w:val="1"/>
      <w:numFmt w:val="lowerRoman"/>
      <w:lvlText w:val="%9."/>
      <w:lvlJc w:val="right"/>
      <w:pPr>
        <w:ind w:left="6560" w:hanging="180"/>
      </w:pPr>
    </w:lvl>
  </w:abstractNum>
  <w:abstractNum w:abstractNumId="5">
    <w:nsid w:val="087E7C7F"/>
    <w:multiLevelType w:val="multilevel"/>
    <w:tmpl w:val="5D3EA4D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nsid w:val="0DC1615D"/>
    <w:multiLevelType w:val="hybridMultilevel"/>
    <w:tmpl w:val="E79610A8"/>
    <w:lvl w:ilvl="0" w:tplc="151E7014">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F2A6F05"/>
    <w:multiLevelType w:val="multilevel"/>
    <w:tmpl w:val="313E6758"/>
    <w:lvl w:ilvl="0">
      <w:start w:val="2"/>
      <w:numFmt w:val="decimal"/>
      <w:lvlText w:val="%1"/>
      <w:lvlJc w:val="left"/>
      <w:pPr>
        <w:ind w:left="360" w:hanging="360"/>
      </w:pPr>
      <w:rPr>
        <w:rFonts w:hint="default"/>
      </w:rPr>
    </w:lvl>
    <w:lvl w:ilvl="1">
      <w:start w:val="2"/>
      <w:numFmt w:val="none"/>
      <w:lvlText w:val="3.2 "/>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11EB12B9"/>
    <w:multiLevelType w:val="multilevel"/>
    <w:tmpl w:val="D3948B82"/>
    <w:lvl w:ilvl="0">
      <w:start w:val="2"/>
      <w:numFmt w:val="decimal"/>
      <w:lvlText w:val="%1"/>
      <w:lvlJc w:val="left"/>
      <w:pPr>
        <w:ind w:left="360" w:hanging="360"/>
      </w:pPr>
      <w:rPr>
        <w:rFonts w:hint="default"/>
      </w:rPr>
    </w:lvl>
    <w:lvl w:ilvl="1">
      <w:start w:val="2"/>
      <w:numFmt w:val="none"/>
      <w:lvlText w:val="2.1 "/>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12155550"/>
    <w:multiLevelType w:val="multilevel"/>
    <w:tmpl w:val="347CBF7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17D333D0"/>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D2962AD"/>
    <w:multiLevelType w:val="multilevel"/>
    <w:tmpl w:val="CA4EA480"/>
    <w:lvl w:ilvl="0">
      <w:start w:val="2"/>
      <w:numFmt w:val="decimal"/>
      <w:lvlText w:val="%1"/>
      <w:lvlJc w:val="left"/>
      <w:pPr>
        <w:ind w:left="360" w:hanging="360"/>
      </w:pPr>
      <w:rPr>
        <w:rFonts w:hint="default"/>
      </w:rPr>
    </w:lvl>
    <w:lvl w:ilvl="1">
      <w:start w:val="2"/>
      <w:numFmt w:val="none"/>
      <w:lvlText w:val="2.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nsid w:val="1E86230E"/>
    <w:multiLevelType w:val="multilevel"/>
    <w:tmpl w:val="967C9EE8"/>
    <w:lvl w:ilvl="0">
      <w:start w:val="2"/>
      <w:numFmt w:val="decimal"/>
      <w:lvlText w:val="%1"/>
      <w:lvlJc w:val="left"/>
      <w:pPr>
        <w:ind w:left="360" w:hanging="360"/>
      </w:pPr>
      <w:rPr>
        <w:rFonts w:hint="default"/>
      </w:rPr>
    </w:lvl>
    <w:lvl w:ilvl="1">
      <w:start w:val="1"/>
      <w:numFmt w:val="none"/>
      <w:lvlText w:val="3.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nsid w:val="20BA2E55"/>
    <w:multiLevelType w:val="multilevel"/>
    <w:tmpl w:val="266A015E"/>
    <w:lvl w:ilvl="0">
      <w:start w:val="2"/>
      <w:numFmt w:val="decimal"/>
      <w:lvlText w:val="%1"/>
      <w:lvlJc w:val="left"/>
      <w:pPr>
        <w:ind w:left="360" w:hanging="360"/>
      </w:pPr>
      <w:rPr>
        <w:rFonts w:hint="default"/>
      </w:rPr>
    </w:lvl>
    <w:lvl w:ilvl="1">
      <w:start w:val="1"/>
      <w:numFmt w:val="none"/>
      <w:lvlText w:val="3.1"/>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nsid w:val="221066D9"/>
    <w:multiLevelType w:val="multilevel"/>
    <w:tmpl w:val="323C7C2C"/>
    <w:lvl w:ilvl="0">
      <w:start w:val="2"/>
      <w:numFmt w:val="decimal"/>
      <w:lvlText w:val="%1"/>
      <w:lvlJc w:val="left"/>
      <w:pPr>
        <w:ind w:left="360" w:hanging="360"/>
      </w:pPr>
      <w:rPr>
        <w:rFonts w:hint="default"/>
      </w:rPr>
    </w:lvl>
    <w:lvl w:ilvl="1">
      <w:start w:val="2"/>
      <w:numFmt w:val="none"/>
      <w:lvlText w:val="2.1 "/>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nsid w:val="24701850"/>
    <w:multiLevelType w:val="multilevel"/>
    <w:tmpl w:val="5A5C1238"/>
    <w:lvl w:ilvl="0">
      <w:start w:val="2"/>
      <w:numFmt w:val="decimal"/>
      <w:lvlText w:val="%1"/>
      <w:lvlJc w:val="left"/>
      <w:pPr>
        <w:ind w:left="360" w:hanging="360"/>
      </w:pPr>
      <w:rPr>
        <w:rFonts w:hint="default"/>
      </w:rPr>
    </w:lvl>
    <w:lvl w:ilvl="1">
      <w:start w:val="2"/>
      <w:numFmt w:val="none"/>
      <w:lvlText w:val="3.1 "/>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2BBC0146"/>
    <w:multiLevelType w:val="multilevel"/>
    <w:tmpl w:val="CE4CC0E2"/>
    <w:lvl w:ilvl="0">
      <w:start w:val="2"/>
      <w:numFmt w:val="decimal"/>
      <w:lvlText w:val="%1"/>
      <w:lvlJc w:val="left"/>
      <w:pPr>
        <w:ind w:left="360" w:hanging="360"/>
      </w:pPr>
      <w:rPr>
        <w:rFonts w:hint="default"/>
      </w:rPr>
    </w:lvl>
    <w:lvl w:ilvl="1">
      <w:start w:val="2"/>
      <w:numFmt w:val="none"/>
      <w:lvlText w:val="2.3"/>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nsid w:val="2C882028"/>
    <w:multiLevelType w:val="hybridMultilevel"/>
    <w:tmpl w:val="B4F6D4D8"/>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F016DDB"/>
    <w:multiLevelType w:val="multilevel"/>
    <w:tmpl w:val="D23E464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nsid w:val="2F0756B7"/>
    <w:multiLevelType w:val="multilevel"/>
    <w:tmpl w:val="7E8E9986"/>
    <w:lvl w:ilvl="0">
      <w:start w:val="1"/>
      <w:numFmt w:val="none"/>
      <w:lvlText w:val="1."/>
      <w:lvlJc w:val="left"/>
      <w:pPr>
        <w:ind w:left="800" w:hanging="360"/>
      </w:pPr>
      <w:rPr>
        <w:rFonts w:hint="default"/>
      </w:rPr>
    </w:lvl>
    <w:lvl w:ilvl="1">
      <w:start w:val="1"/>
      <w:numFmt w:val="lowerLetter"/>
      <w:lvlText w:val="%2."/>
      <w:lvlJc w:val="left"/>
      <w:pPr>
        <w:ind w:left="1520" w:hanging="360"/>
      </w:pPr>
    </w:lvl>
    <w:lvl w:ilvl="2">
      <w:start w:val="1"/>
      <w:numFmt w:val="lowerRoman"/>
      <w:lvlText w:val="%3."/>
      <w:lvlJc w:val="right"/>
      <w:pPr>
        <w:ind w:left="2240" w:hanging="180"/>
      </w:pPr>
    </w:lvl>
    <w:lvl w:ilvl="3">
      <w:start w:val="1"/>
      <w:numFmt w:val="decimal"/>
      <w:lvlText w:val="%4."/>
      <w:lvlJc w:val="left"/>
      <w:pPr>
        <w:ind w:left="2960" w:hanging="360"/>
      </w:pPr>
    </w:lvl>
    <w:lvl w:ilvl="4">
      <w:start w:val="1"/>
      <w:numFmt w:val="lowerLetter"/>
      <w:lvlText w:val="%5."/>
      <w:lvlJc w:val="left"/>
      <w:pPr>
        <w:ind w:left="3680" w:hanging="360"/>
      </w:pPr>
    </w:lvl>
    <w:lvl w:ilvl="5">
      <w:start w:val="1"/>
      <w:numFmt w:val="lowerRoman"/>
      <w:lvlText w:val="%6."/>
      <w:lvlJc w:val="right"/>
      <w:pPr>
        <w:ind w:left="4400" w:hanging="180"/>
      </w:pPr>
    </w:lvl>
    <w:lvl w:ilvl="6">
      <w:start w:val="1"/>
      <w:numFmt w:val="decimal"/>
      <w:lvlText w:val="%7."/>
      <w:lvlJc w:val="left"/>
      <w:pPr>
        <w:ind w:left="5120" w:hanging="360"/>
      </w:pPr>
    </w:lvl>
    <w:lvl w:ilvl="7">
      <w:start w:val="1"/>
      <w:numFmt w:val="lowerLetter"/>
      <w:lvlText w:val="%8."/>
      <w:lvlJc w:val="left"/>
      <w:pPr>
        <w:ind w:left="5840" w:hanging="360"/>
      </w:pPr>
    </w:lvl>
    <w:lvl w:ilvl="8">
      <w:start w:val="1"/>
      <w:numFmt w:val="lowerRoman"/>
      <w:lvlText w:val="%9."/>
      <w:lvlJc w:val="right"/>
      <w:pPr>
        <w:ind w:left="6560" w:hanging="180"/>
      </w:pPr>
    </w:lvl>
  </w:abstractNum>
  <w:abstractNum w:abstractNumId="20">
    <w:nsid w:val="2F2C6D5E"/>
    <w:multiLevelType w:val="multilevel"/>
    <w:tmpl w:val="8E2E239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2"/>
      <w:numFmt w:val="none"/>
      <w:lvlText w:val="2.2"/>
      <w:lvlJc w:val="left"/>
      <w:pPr>
        <w:ind w:left="1440" w:hanging="360"/>
      </w:pPr>
      <w:rPr>
        <w:rFonts w:asciiTheme="majorHAnsi" w:hAnsiTheme="majorHAnsi"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FA037A5"/>
    <w:multiLevelType w:val="multilevel"/>
    <w:tmpl w:val="6010AEC2"/>
    <w:lvl w:ilvl="0">
      <w:start w:val="2"/>
      <w:numFmt w:val="decimal"/>
      <w:lvlText w:val="%1"/>
      <w:lvlJc w:val="left"/>
      <w:pPr>
        <w:ind w:left="360" w:hanging="360"/>
      </w:pPr>
      <w:rPr>
        <w:rFonts w:hint="default"/>
      </w:rPr>
    </w:lvl>
    <w:lvl w:ilvl="1">
      <w:start w:val="2"/>
      <w:numFmt w:val="none"/>
      <w:lvlText w:val="2.2 "/>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nsid w:val="33852C45"/>
    <w:multiLevelType w:val="multilevel"/>
    <w:tmpl w:val="D23E464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nsid w:val="3D120990"/>
    <w:multiLevelType w:val="multilevel"/>
    <w:tmpl w:val="383E1BD6"/>
    <w:lvl w:ilvl="0">
      <w:start w:val="2"/>
      <w:numFmt w:val="decimal"/>
      <w:lvlText w:val="%1."/>
      <w:lvlJc w:val="left"/>
      <w:pPr>
        <w:ind w:left="800" w:hanging="360"/>
      </w:pPr>
      <w:rPr>
        <w:rFonts w:hint="default"/>
      </w:rPr>
    </w:lvl>
    <w:lvl w:ilvl="1">
      <w:start w:val="1"/>
      <w:numFmt w:val="lowerLetter"/>
      <w:lvlText w:val="%2."/>
      <w:lvlJc w:val="left"/>
      <w:pPr>
        <w:ind w:left="1520" w:hanging="360"/>
      </w:pPr>
    </w:lvl>
    <w:lvl w:ilvl="2">
      <w:start w:val="1"/>
      <w:numFmt w:val="lowerRoman"/>
      <w:lvlText w:val="%3."/>
      <w:lvlJc w:val="right"/>
      <w:pPr>
        <w:ind w:left="2240" w:hanging="180"/>
      </w:pPr>
    </w:lvl>
    <w:lvl w:ilvl="3">
      <w:start w:val="1"/>
      <w:numFmt w:val="decimal"/>
      <w:lvlText w:val="%4."/>
      <w:lvlJc w:val="left"/>
      <w:pPr>
        <w:ind w:left="2960" w:hanging="360"/>
      </w:pPr>
    </w:lvl>
    <w:lvl w:ilvl="4">
      <w:start w:val="1"/>
      <w:numFmt w:val="lowerLetter"/>
      <w:lvlText w:val="%5."/>
      <w:lvlJc w:val="left"/>
      <w:pPr>
        <w:ind w:left="3680" w:hanging="360"/>
      </w:pPr>
    </w:lvl>
    <w:lvl w:ilvl="5">
      <w:start w:val="1"/>
      <w:numFmt w:val="lowerRoman"/>
      <w:lvlText w:val="%6."/>
      <w:lvlJc w:val="right"/>
      <w:pPr>
        <w:ind w:left="4400" w:hanging="180"/>
      </w:pPr>
    </w:lvl>
    <w:lvl w:ilvl="6">
      <w:start w:val="1"/>
      <w:numFmt w:val="decimal"/>
      <w:lvlText w:val="%7."/>
      <w:lvlJc w:val="left"/>
      <w:pPr>
        <w:ind w:left="5120" w:hanging="360"/>
      </w:pPr>
    </w:lvl>
    <w:lvl w:ilvl="7">
      <w:start w:val="1"/>
      <w:numFmt w:val="lowerLetter"/>
      <w:lvlText w:val="%8."/>
      <w:lvlJc w:val="left"/>
      <w:pPr>
        <w:ind w:left="5840" w:hanging="360"/>
      </w:pPr>
    </w:lvl>
    <w:lvl w:ilvl="8">
      <w:start w:val="1"/>
      <w:numFmt w:val="lowerRoman"/>
      <w:lvlText w:val="%9."/>
      <w:lvlJc w:val="right"/>
      <w:pPr>
        <w:ind w:left="6560" w:hanging="180"/>
      </w:pPr>
    </w:lvl>
  </w:abstractNum>
  <w:abstractNum w:abstractNumId="24">
    <w:nsid w:val="3DC62278"/>
    <w:multiLevelType w:val="hybridMultilevel"/>
    <w:tmpl w:val="690ED2AE"/>
    <w:lvl w:ilvl="0" w:tplc="6B32F46C">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5">
    <w:nsid w:val="3EFA35CC"/>
    <w:multiLevelType w:val="hybridMultilevel"/>
    <w:tmpl w:val="1BD4F93E"/>
    <w:lvl w:ilvl="0" w:tplc="0C98A986">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6">
    <w:nsid w:val="413A219E"/>
    <w:multiLevelType w:val="multilevel"/>
    <w:tmpl w:val="977AD152"/>
    <w:lvl w:ilvl="0">
      <w:start w:val="2"/>
      <w:numFmt w:val="decimal"/>
      <w:lvlText w:val="%1"/>
      <w:lvlJc w:val="left"/>
      <w:pPr>
        <w:ind w:left="360" w:hanging="360"/>
      </w:pPr>
      <w:rPr>
        <w:rFonts w:hint="default"/>
      </w:rPr>
    </w:lvl>
    <w:lvl w:ilvl="1">
      <w:start w:val="2"/>
      <w:numFmt w:val="none"/>
      <w:lvlText w:val="2.2 "/>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nsid w:val="440E00C8"/>
    <w:multiLevelType w:val="multilevel"/>
    <w:tmpl w:val="0BDEB192"/>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nsid w:val="44495543"/>
    <w:multiLevelType w:val="multilevel"/>
    <w:tmpl w:val="9AC067DA"/>
    <w:lvl w:ilvl="0">
      <w:start w:val="2"/>
      <w:numFmt w:val="decimal"/>
      <w:lvlText w:val="%1"/>
      <w:lvlJc w:val="left"/>
      <w:pPr>
        <w:ind w:left="360" w:hanging="360"/>
      </w:pPr>
      <w:rPr>
        <w:rFonts w:hint="default"/>
      </w:rPr>
    </w:lvl>
    <w:lvl w:ilvl="1">
      <w:start w:val="2"/>
      <w:numFmt w:val="none"/>
      <w:lvlText w:val="3.1 "/>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nsid w:val="446E6DCE"/>
    <w:multiLevelType w:val="hybridMultilevel"/>
    <w:tmpl w:val="E2B848A4"/>
    <w:lvl w:ilvl="0" w:tplc="7A3EFAC8">
      <w:start w:val="1"/>
      <w:numFmt w:val="none"/>
      <w:lvlText w:val="1."/>
      <w:lvlJc w:val="left"/>
      <w:pPr>
        <w:ind w:left="800" w:hanging="360"/>
      </w:pPr>
      <w:rPr>
        <w:rFonts w:hint="default"/>
      </w:rPr>
    </w:lvl>
    <w:lvl w:ilvl="1" w:tplc="04100019" w:tentative="1">
      <w:start w:val="1"/>
      <w:numFmt w:val="lowerLetter"/>
      <w:lvlText w:val="%2."/>
      <w:lvlJc w:val="left"/>
      <w:pPr>
        <w:ind w:left="1520" w:hanging="360"/>
      </w:pPr>
    </w:lvl>
    <w:lvl w:ilvl="2" w:tplc="0410001B" w:tentative="1">
      <w:start w:val="1"/>
      <w:numFmt w:val="lowerRoman"/>
      <w:lvlText w:val="%3."/>
      <w:lvlJc w:val="right"/>
      <w:pPr>
        <w:ind w:left="2240" w:hanging="180"/>
      </w:pPr>
    </w:lvl>
    <w:lvl w:ilvl="3" w:tplc="0410000F" w:tentative="1">
      <w:start w:val="1"/>
      <w:numFmt w:val="decimal"/>
      <w:lvlText w:val="%4."/>
      <w:lvlJc w:val="left"/>
      <w:pPr>
        <w:ind w:left="2960" w:hanging="360"/>
      </w:pPr>
    </w:lvl>
    <w:lvl w:ilvl="4" w:tplc="04100019" w:tentative="1">
      <w:start w:val="1"/>
      <w:numFmt w:val="lowerLetter"/>
      <w:lvlText w:val="%5."/>
      <w:lvlJc w:val="left"/>
      <w:pPr>
        <w:ind w:left="3680" w:hanging="360"/>
      </w:pPr>
    </w:lvl>
    <w:lvl w:ilvl="5" w:tplc="0410001B" w:tentative="1">
      <w:start w:val="1"/>
      <w:numFmt w:val="lowerRoman"/>
      <w:lvlText w:val="%6."/>
      <w:lvlJc w:val="right"/>
      <w:pPr>
        <w:ind w:left="4400" w:hanging="180"/>
      </w:pPr>
    </w:lvl>
    <w:lvl w:ilvl="6" w:tplc="0410000F" w:tentative="1">
      <w:start w:val="1"/>
      <w:numFmt w:val="decimal"/>
      <w:lvlText w:val="%7."/>
      <w:lvlJc w:val="left"/>
      <w:pPr>
        <w:ind w:left="5120" w:hanging="360"/>
      </w:pPr>
    </w:lvl>
    <w:lvl w:ilvl="7" w:tplc="04100019" w:tentative="1">
      <w:start w:val="1"/>
      <w:numFmt w:val="lowerLetter"/>
      <w:lvlText w:val="%8."/>
      <w:lvlJc w:val="left"/>
      <w:pPr>
        <w:ind w:left="5840" w:hanging="360"/>
      </w:pPr>
    </w:lvl>
    <w:lvl w:ilvl="8" w:tplc="0410001B" w:tentative="1">
      <w:start w:val="1"/>
      <w:numFmt w:val="lowerRoman"/>
      <w:lvlText w:val="%9."/>
      <w:lvlJc w:val="right"/>
      <w:pPr>
        <w:ind w:left="6560" w:hanging="180"/>
      </w:pPr>
    </w:lvl>
  </w:abstractNum>
  <w:abstractNum w:abstractNumId="30">
    <w:nsid w:val="525D771F"/>
    <w:multiLevelType w:val="multilevel"/>
    <w:tmpl w:val="EF7060C2"/>
    <w:lvl w:ilvl="0">
      <w:start w:val="2"/>
      <w:numFmt w:val="decimal"/>
      <w:lvlText w:val="%1"/>
      <w:lvlJc w:val="left"/>
      <w:pPr>
        <w:ind w:left="360" w:hanging="360"/>
      </w:pPr>
      <w:rPr>
        <w:rFonts w:hint="default"/>
      </w:rPr>
    </w:lvl>
    <w:lvl w:ilvl="1">
      <w:start w:val="2"/>
      <w:numFmt w:val="none"/>
      <w:lvlText w:val="2.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nsid w:val="5AD72F13"/>
    <w:multiLevelType w:val="multilevel"/>
    <w:tmpl w:val="A68E178C"/>
    <w:lvl w:ilvl="0">
      <w:start w:val="2"/>
      <w:numFmt w:val="decimal"/>
      <w:lvlText w:val="%1"/>
      <w:lvlJc w:val="left"/>
      <w:pPr>
        <w:ind w:left="360" w:hanging="360"/>
      </w:pPr>
      <w:rPr>
        <w:rFonts w:hint="default"/>
      </w:rPr>
    </w:lvl>
    <w:lvl w:ilvl="1">
      <w:start w:val="2"/>
      <w:numFmt w:val="none"/>
      <w:lvlText w:val="2.1 "/>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nsid w:val="5BC309B3"/>
    <w:multiLevelType w:val="hybridMultilevel"/>
    <w:tmpl w:val="88F0F0B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CFD1FFB"/>
    <w:multiLevelType w:val="multilevel"/>
    <w:tmpl w:val="078276D8"/>
    <w:lvl w:ilvl="0">
      <w:start w:val="3"/>
      <w:numFmt w:val="decimal"/>
      <w:lvlText w:val="%1."/>
      <w:lvlJc w:val="left"/>
      <w:pPr>
        <w:ind w:left="720" w:hanging="360"/>
      </w:pPr>
      <w:rPr>
        <w:rFonts w:hint="default"/>
      </w:rPr>
    </w:lvl>
    <w:lvl w:ilvl="1">
      <w:start w:val="1"/>
      <w:numFmt w:val="decimal"/>
      <w:pStyle w:val="Titolo2"/>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4">
    <w:nsid w:val="65BA5258"/>
    <w:multiLevelType w:val="hybridMultilevel"/>
    <w:tmpl w:val="A6D8275C"/>
    <w:lvl w:ilvl="0" w:tplc="73448AD4">
      <w:numFmt w:val="none"/>
      <w:lvlText w:val="2"/>
      <w:lvlJc w:val="left"/>
      <w:pPr>
        <w:ind w:left="720" w:hanging="360"/>
      </w:pPr>
      <w:rPr>
        <w:rFonts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6B1D124F"/>
    <w:multiLevelType w:val="multilevel"/>
    <w:tmpl w:val="15804ACA"/>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nsid w:val="783C7218"/>
    <w:multiLevelType w:val="multilevel"/>
    <w:tmpl w:val="BA84D9FC"/>
    <w:lvl w:ilvl="0">
      <w:start w:val="2"/>
      <w:numFmt w:val="decimal"/>
      <w:lvlText w:val="%1"/>
      <w:lvlJc w:val="left"/>
      <w:pPr>
        <w:ind w:left="360" w:hanging="360"/>
      </w:pPr>
      <w:rPr>
        <w:rFonts w:hint="default"/>
      </w:rPr>
    </w:lvl>
    <w:lvl w:ilvl="1">
      <w:start w:val="1"/>
      <w:numFmt w:val="none"/>
      <w:lvlText w:val="3.1"/>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7">
    <w:nsid w:val="7A5F563B"/>
    <w:multiLevelType w:val="multilevel"/>
    <w:tmpl w:val="6DE41B7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5"/>
  </w:num>
  <w:num w:numId="2">
    <w:abstractNumId w:val="17"/>
  </w:num>
  <w:num w:numId="3">
    <w:abstractNumId w:val="29"/>
  </w:num>
  <w:num w:numId="4">
    <w:abstractNumId w:val="34"/>
  </w:num>
  <w:num w:numId="5">
    <w:abstractNumId w:val="10"/>
  </w:num>
  <w:num w:numId="6">
    <w:abstractNumId w:val="20"/>
  </w:num>
  <w:num w:numId="7">
    <w:abstractNumId w:val="25"/>
  </w:num>
  <w:num w:numId="8">
    <w:abstractNumId w:val="24"/>
  </w:num>
  <w:num w:numId="9">
    <w:abstractNumId w:val="31"/>
  </w:num>
  <w:num w:numId="10">
    <w:abstractNumId w:val="32"/>
  </w:num>
  <w:num w:numId="11">
    <w:abstractNumId w:val="4"/>
  </w:num>
  <w:num w:numId="12">
    <w:abstractNumId w:val="19"/>
  </w:num>
  <w:num w:numId="13">
    <w:abstractNumId w:val="3"/>
  </w:num>
  <w:num w:numId="14">
    <w:abstractNumId w:val="23"/>
  </w:num>
  <w:num w:numId="15">
    <w:abstractNumId w:val="6"/>
  </w:num>
  <w:num w:numId="16">
    <w:abstractNumId w:val="0"/>
  </w:num>
  <w:num w:numId="17">
    <w:abstractNumId w:val="31"/>
  </w:num>
  <w:num w:numId="18">
    <w:abstractNumId w:val="18"/>
  </w:num>
  <w:num w:numId="19">
    <w:abstractNumId w:val="22"/>
  </w:num>
  <w:num w:numId="20">
    <w:abstractNumId w:val="30"/>
  </w:num>
  <w:num w:numId="21">
    <w:abstractNumId w:val="31"/>
  </w:num>
  <w:num w:numId="22">
    <w:abstractNumId w:val="31"/>
  </w:num>
  <w:num w:numId="23">
    <w:abstractNumId w:val="35"/>
  </w:num>
  <w:num w:numId="24">
    <w:abstractNumId w:val="31"/>
  </w:num>
  <w:num w:numId="25">
    <w:abstractNumId w:val="2"/>
  </w:num>
  <w:num w:numId="26">
    <w:abstractNumId w:val="31"/>
  </w:num>
  <w:num w:numId="27">
    <w:abstractNumId w:val="11"/>
  </w:num>
  <w:num w:numId="28">
    <w:abstractNumId w:val="33"/>
  </w:num>
  <w:num w:numId="29">
    <w:abstractNumId w:val="16"/>
  </w:num>
  <w:num w:numId="30">
    <w:abstractNumId w:val="31"/>
  </w:num>
  <w:num w:numId="31">
    <w:abstractNumId w:val="28"/>
  </w:num>
  <w:num w:numId="32">
    <w:abstractNumId w:val="31"/>
  </w:num>
  <w:num w:numId="33">
    <w:abstractNumId w:val="15"/>
  </w:num>
  <w:num w:numId="34">
    <w:abstractNumId w:val="7"/>
  </w:num>
  <w:num w:numId="35">
    <w:abstractNumId w:val="8"/>
  </w:num>
  <w:num w:numId="36">
    <w:abstractNumId w:val="26"/>
  </w:num>
  <w:num w:numId="37">
    <w:abstractNumId w:val="21"/>
  </w:num>
  <w:num w:numId="38">
    <w:abstractNumId w:val="14"/>
  </w:num>
  <w:num w:numId="39">
    <w:abstractNumId w:val="27"/>
  </w:num>
  <w:num w:numId="40">
    <w:abstractNumId w:val="12"/>
  </w:num>
  <w:num w:numId="41">
    <w:abstractNumId w:val="37"/>
  </w:num>
  <w:num w:numId="4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13"/>
  </w:num>
  <w:num w:numId="45">
    <w:abstractNumId w:val="36"/>
  </w:num>
  <w:num w:numId="46">
    <w:abstractNumId w:val="33"/>
    <w:lvlOverride w:ilvl="0">
      <w:startOverride w:val="3"/>
    </w:lvlOverride>
    <w:lvlOverride w:ilvl="1">
      <w:startOverride w:val="1"/>
    </w:lvlOverride>
  </w:num>
  <w:num w:numId="47">
    <w:abstractNumId w:val="33"/>
    <w:lvlOverride w:ilvl="0">
      <w:startOverride w:val="3"/>
    </w:lvlOverride>
  </w:num>
  <w:num w:numId="48">
    <w:abstractNumId w:val="9"/>
  </w:num>
  <w:num w:numId="49">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ca daniela">
    <w15:presenceInfo w15:providerId="AD" w15:userId="S-1-5-21-1292428093-1757981266-725345543-262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A7D"/>
    <w:rsid w:val="000075E5"/>
    <w:rsid w:val="00021864"/>
    <w:rsid w:val="00023825"/>
    <w:rsid w:val="00033AF0"/>
    <w:rsid w:val="000355D3"/>
    <w:rsid w:val="00036D1E"/>
    <w:rsid w:val="000469A0"/>
    <w:rsid w:val="0005175F"/>
    <w:rsid w:val="00055E2B"/>
    <w:rsid w:val="00064734"/>
    <w:rsid w:val="00075289"/>
    <w:rsid w:val="00076648"/>
    <w:rsid w:val="00094A32"/>
    <w:rsid w:val="000A14D7"/>
    <w:rsid w:val="000B2CC8"/>
    <w:rsid w:val="000B7367"/>
    <w:rsid w:val="000C0CCB"/>
    <w:rsid w:val="000D4C51"/>
    <w:rsid w:val="000D671D"/>
    <w:rsid w:val="001018AC"/>
    <w:rsid w:val="00112A03"/>
    <w:rsid w:val="00130DC5"/>
    <w:rsid w:val="0013163B"/>
    <w:rsid w:val="00137C23"/>
    <w:rsid w:val="00137C90"/>
    <w:rsid w:val="00144C88"/>
    <w:rsid w:val="001461FF"/>
    <w:rsid w:val="001622EF"/>
    <w:rsid w:val="00166360"/>
    <w:rsid w:val="00166CE7"/>
    <w:rsid w:val="00194B11"/>
    <w:rsid w:val="00195253"/>
    <w:rsid w:val="001B17BD"/>
    <w:rsid w:val="001C2D79"/>
    <w:rsid w:val="001C4541"/>
    <w:rsid w:val="001C7749"/>
    <w:rsid w:val="001F30DB"/>
    <w:rsid w:val="00210084"/>
    <w:rsid w:val="002159AB"/>
    <w:rsid w:val="0022087C"/>
    <w:rsid w:val="00222654"/>
    <w:rsid w:val="00230295"/>
    <w:rsid w:val="00236C9B"/>
    <w:rsid w:val="00243A97"/>
    <w:rsid w:val="002755D5"/>
    <w:rsid w:val="002861C9"/>
    <w:rsid w:val="002879BE"/>
    <w:rsid w:val="00287A7B"/>
    <w:rsid w:val="00292C8E"/>
    <w:rsid w:val="002A50DA"/>
    <w:rsid w:val="002D37D9"/>
    <w:rsid w:val="002F3E19"/>
    <w:rsid w:val="003101E8"/>
    <w:rsid w:val="00313C5E"/>
    <w:rsid w:val="00314167"/>
    <w:rsid w:val="00316D0F"/>
    <w:rsid w:val="0032540B"/>
    <w:rsid w:val="00327B46"/>
    <w:rsid w:val="0034030E"/>
    <w:rsid w:val="003424E9"/>
    <w:rsid w:val="00344B1E"/>
    <w:rsid w:val="00350AB0"/>
    <w:rsid w:val="00354460"/>
    <w:rsid w:val="00370C94"/>
    <w:rsid w:val="00386969"/>
    <w:rsid w:val="00391EC8"/>
    <w:rsid w:val="00397BE1"/>
    <w:rsid w:val="003A2CBA"/>
    <w:rsid w:val="003A6F60"/>
    <w:rsid w:val="003B24D0"/>
    <w:rsid w:val="003B56FE"/>
    <w:rsid w:val="003C3892"/>
    <w:rsid w:val="003C5FB5"/>
    <w:rsid w:val="003D7524"/>
    <w:rsid w:val="003E74E9"/>
    <w:rsid w:val="003F770C"/>
    <w:rsid w:val="00421EA8"/>
    <w:rsid w:val="0042554D"/>
    <w:rsid w:val="00425F6F"/>
    <w:rsid w:val="004702A9"/>
    <w:rsid w:val="004768A1"/>
    <w:rsid w:val="00480445"/>
    <w:rsid w:val="004B0742"/>
    <w:rsid w:val="004B4E7A"/>
    <w:rsid w:val="004C4B79"/>
    <w:rsid w:val="004C51EE"/>
    <w:rsid w:val="004D022E"/>
    <w:rsid w:val="004D4178"/>
    <w:rsid w:val="004F08A5"/>
    <w:rsid w:val="004F4964"/>
    <w:rsid w:val="004F576A"/>
    <w:rsid w:val="005229C4"/>
    <w:rsid w:val="00530AB5"/>
    <w:rsid w:val="00534942"/>
    <w:rsid w:val="005459DF"/>
    <w:rsid w:val="00545E1A"/>
    <w:rsid w:val="00554172"/>
    <w:rsid w:val="00561786"/>
    <w:rsid w:val="00564FD4"/>
    <w:rsid w:val="0057092B"/>
    <w:rsid w:val="00590069"/>
    <w:rsid w:val="005936E6"/>
    <w:rsid w:val="005A1FBA"/>
    <w:rsid w:val="005A33D7"/>
    <w:rsid w:val="005A4A3A"/>
    <w:rsid w:val="005B3A09"/>
    <w:rsid w:val="005B5D06"/>
    <w:rsid w:val="005D3580"/>
    <w:rsid w:val="005D6D20"/>
    <w:rsid w:val="005F2EA4"/>
    <w:rsid w:val="005F3FDC"/>
    <w:rsid w:val="005F4A3D"/>
    <w:rsid w:val="005F7C17"/>
    <w:rsid w:val="006206C7"/>
    <w:rsid w:val="0062322A"/>
    <w:rsid w:val="006247BE"/>
    <w:rsid w:val="00646E83"/>
    <w:rsid w:val="00677D24"/>
    <w:rsid w:val="006A5A27"/>
    <w:rsid w:val="006B2886"/>
    <w:rsid w:val="006C1C9B"/>
    <w:rsid w:val="006D252E"/>
    <w:rsid w:val="006E183C"/>
    <w:rsid w:val="006E53F4"/>
    <w:rsid w:val="006F3FC8"/>
    <w:rsid w:val="007062BA"/>
    <w:rsid w:val="00707FF3"/>
    <w:rsid w:val="00720582"/>
    <w:rsid w:val="00747C1D"/>
    <w:rsid w:val="00771CCC"/>
    <w:rsid w:val="00776530"/>
    <w:rsid w:val="00776780"/>
    <w:rsid w:val="00781F0D"/>
    <w:rsid w:val="007B15AE"/>
    <w:rsid w:val="007C56FB"/>
    <w:rsid w:val="007D29E9"/>
    <w:rsid w:val="007E6E33"/>
    <w:rsid w:val="007F54B6"/>
    <w:rsid w:val="00803BB7"/>
    <w:rsid w:val="00807CFC"/>
    <w:rsid w:val="0081128E"/>
    <w:rsid w:val="00816C55"/>
    <w:rsid w:val="00831DA0"/>
    <w:rsid w:val="0083679C"/>
    <w:rsid w:val="00841621"/>
    <w:rsid w:val="00847242"/>
    <w:rsid w:val="00870DA7"/>
    <w:rsid w:val="008724B9"/>
    <w:rsid w:val="008744BF"/>
    <w:rsid w:val="00880622"/>
    <w:rsid w:val="00885E33"/>
    <w:rsid w:val="008860A4"/>
    <w:rsid w:val="00887A7D"/>
    <w:rsid w:val="00887FE5"/>
    <w:rsid w:val="00893C4E"/>
    <w:rsid w:val="008A420F"/>
    <w:rsid w:val="008A6230"/>
    <w:rsid w:val="008E4CDA"/>
    <w:rsid w:val="008E6EC4"/>
    <w:rsid w:val="008E773F"/>
    <w:rsid w:val="00900D25"/>
    <w:rsid w:val="009344B7"/>
    <w:rsid w:val="00936493"/>
    <w:rsid w:val="009522B4"/>
    <w:rsid w:val="009537C6"/>
    <w:rsid w:val="00960F15"/>
    <w:rsid w:val="00965CBF"/>
    <w:rsid w:val="0096601E"/>
    <w:rsid w:val="00967D24"/>
    <w:rsid w:val="009702E8"/>
    <w:rsid w:val="00984014"/>
    <w:rsid w:val="009938F2"/>
    <w:rsid w:val="00993CBD"/>
    <w:rsid w:val="009A1724"/>
    <w:rsid w:val="009A78FC"/>
    <w:rsid w:val="009B408A"/>
    <w:rsid w:val="009B79E0"/>
    <w:rsid w:val="009D77A0"/>
    <w:rsid w:val="009E13F8"/>
    <w:rsid w:val="009E1516"/>
    <w:rsid w:val="009E6CB8"/>
    <w:rsid w:val="009E755F"/>
    <w:rsid w:val="009F471F"/>
    <w:rsid w:val="009F58EC"/>
    <w:rsid w:val="00A01B59"/>
    <w:rsid w:val="00A067FD"/>
    <w:rsid w:val="00A25B75"/>
    <w:rsid w:val="00A478A1"/>
    <w:rsid w:val="00A52C6A"/>
    <w:rsid w:val="00A60107"/>
    <w:rsid w:val="00A74D9C"/>
    <w:rsid w:val="00AA6FFA"/>
    <w:rsid w:val="00AB7D8D"/>
    <w:rsid w:val="00AE75D7"/>
    <w:rsid w:val="00AF22EF"/>
    <w:rsid w:val="00AF7E88"/>
    <w:rsid w:val="00B33A9A"/>
    <w:rsid w:val="00B36B95"/>
    <w:rsid w:val="00B377BA"/>
    <w:rsid w:val="00B42CB5"/>
    <w:rsid w:val="00B46730"/>
    <w:rsid w:val="00B573B3"/>
    <w:rsid w:val="00B7689A"/>
    <w:rsid w:val="00B77BD8"/>
    <w:rsid w:val="00B82FC7"/>
    <w:rsid w:val="00BA5950"/>
    <w:rsid w:val="00BB3BAA"/>
    <w:rsid w:val="00BB4A48"/>
    <w:rsid w:val="00BB741A"/>
    <w:rsid w:val="00BE6195"/>
    <w:rsid w:val="00BE7E51"/>
    <w:rsid w:val="00BF0DFB"/>
    <w:rsid w:val="00BF0F75"/>
    <w:rsid w:val="00BF353B"/>
    <w:rsid w:val="00BF654B"/>
    <w:rsid w:val="00BF70AE"/>
    <w:rsid w:val="00C10EA6"/>
    <w:rsid w:val="00C16662"/>
    <w:rsid w:val="00C45B60"/>
    <w:rsid w:val="00C553B2"/>
    <w:rsid w:val="00C60BAF"/>
    <w:rsid w:val="00C6323B"/>
    <w:rsid w:val="00C726F2"/>
    <w:rsid w:val="00C812D1"/>
    <w:rsid w:val="00C814EB"/>
    <w:rsid w:val="00C878DE"/>
    <w:rsid w:val="00C94E01"/>
    <w:rsid w:val="00CD2C07"/>
    <w:rsid w:val="00CD7DC8"/>
    <w:rsid w:val="00CF7F6D"/>
    <w:rsid w:val="00D02C96"/>
    <w:rsid w:val="00D13161"/>
    <w:rsid w:val="00D151C1"/>
    <w:rsid w:val="00D256EB"/>
    <w:rsid w:val="00D32ACA"/>
    <w:rsid w:val="00D50049"/>
    <w:rsid w:val="00D53524"/>
    <w:rsid w:val="00D54B55"/>
    <w:rsid w:val="00D60AF2"/>
    <w:rsid w:val="00D869CC"/>
    <w:rsid w:val="00D87CEE"/>
    <w:rsid w:val="00DA132A"/>
    <w:rsid w:val="00DA1B78"/>
    <w:rsid w:val="00DA3478"/>
    <w:rsid w:val="00DA3900"/>
    <w:rsid w:val="00DA3991"/>
    <w:rsid w:val="00DA7D10"/>
    <w:rsid w:val="00DB02CC"/>
    <w:rsid w:val="00DC4069"/>
    <w:rsid w:val="00DD3116"/>
    <w:rsid w:val="00DE2E7E"/>
    <w:rsid w:val="00DE78B9"/>
    <w:rsid w:val="00E02FFF"/>
    <w:rsid w:val="00E12826"/>
    <w:rsid w:val="00E238DA"/>
    <w:rsid w:val="00E26417"/>
    <w:rsid w:val="00E33465"/>
    <w:rsid w:val="00E40D80"/>
    <w:rsid w:val="00E43CBF"/>
    <w:rsid w:val="00E62376"/>
    <w:rsid w:val="00E641E8"/>
    <w:rsid w:val="00E756D6"/>
    <w:rsid w:val="00E82D5F"/>
    <w:rsid w:val="00E96487"/>
    <w:rsid w:val="00ED5670"/>
    <w:rsid w:val="00EF6E98"/>
    <w:rsid w:val="00F03904"/>
    <w:rsid w:val="00F07A9B"/>
    <w:rsid w:val="00F115CD"/>
    <w:rsid w:val="00F137A6"/>
    <w:rsid w:val="00F40A33"/>
    <w:rsid w:val="00F42C80"/>
    <w:rsid w:val="00F5127A"/>
    <w:rsid w:val="00F519E7"/>
    <w:rsid w:val="00F554E1"/>
    <w:rsid w:val="00F65E63"/>
    <w:rsid w:val="00F75312"/>
    <w:rsid w:val="00F84786"/>
    <w:rsid w:val="00F86A5F"/>
    <w:rsid w:val="00F91014"/>
    <w:rsid w:val="00FA095C"/>
    <w:rsid w:val="00FA7900"/>
    <w:rsid w:val="00FD6809"/>
    <w:rsid w:val="00FE28E4"/>
    <w:rsid w:val="00FF4AEC"/>
    <w:rsid w:val="00FF76E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7E81F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81F0D"/>
    <w:rPr>
      <w:rFonts w:asciiTheme="majorHAnsi" w:hAnsiTheme="majorHAnsi"/>
      <w:sz w:val="22"/>
      <w:lang w:val="fr-FR"/>
    </w:rPr>
  </w:style>
  <w:style w:type="paragraph" w:styleId="Titolo1">
    <w:name w:val="heading 1"/>
    <w:basedOn w:val="Normale"/>
    <w:next w:val="Normale"/>
    <w:link w:val="Titolo1Carattere"/>
    <w:uiPriority w:val="9"/>
    <w:qFormat/>
    <w:rsid w:val="00BE6195"/>
    <w:pPr>
      <w:keepNext/>
      <w:keepLines/>
      <w:spacing w:before="480"/>
      <w:outlineLvl w:val="0"/>
    </w:pPr>
    <w:rPr>
      <w:rFonts w:eastAsiaTheme="majorEastAsia" w:cstheme="majorBidi"/>
      <w:b/>
      <w:bCs/>
      <w:color w:val="008000"/>
      <w:szCs w:val="32"/>
    </w:rPr>
  </w:style>
  <w:style w:type="paragraph" w:styleId="Titolo2">
    <w:name w:val="heading 2"/>
    <w:basedOn w:val="Normale"/>
    <w:next w:val="Normale"/>
    <w:link w:val="Titolo2Carattere"/>
    <w:autoRedefine/>
    <w:uiPriority w:val="9"/>
    <w:unhideWhenUsed/>
    <w:qFormat/>
    <w:rsid w:val="00F42C80"/>
    <w:pPr>
      <w:keepNext/>
      <w:keepLines/>
      <w:numPr>
        <w:ilvl w:val="1"/>
        <w:numId w:val="28"/>
      </w:numPr>
      <w:tabs>
        <w:tab w:val="left" w:pos="709"/>
        <w:tab w:val="left" w:pos="4395"/>
      </w:tabs>
      <w:spacing w:before="200"/>
      <w:outlineLvl w:val="1"/>
    </w:pPr>
    <w:rPr>
      <w:rFonts w:eastAsiaTheme="majorEastAsia" w:cstheme="majorBidi"/>
      <w:b/>
      <w:bCs/>
      <w:color w:val="008000"/>
      <w:szCs w:val="22"/>
      <w:lang w:eastAsia="ja-JP"/>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atterepredefinitoparagrafo"/>
    <w:link w:val="Titolo2"/>
    <w:uiPriority w:val="9"/>
    <w:rsid w:val="00F42C80"/>
    <w:rPr>
      <w:rFonts w:asciiTheme="majorHAnsi" w:eastAsiaTheme="majorEastAsia" w:hAnsiTheme="majorHAnsi" w:cstheme="majorBidi"/>
      <w:b/>
      <w:bCs/>
      <w:color w:val="008000"/>
      <w:sz w:val="22"/>
      <w:szCs w:val="22"/>
      <w:lang w:val="fr-FR" w:eastAsia="ja-JP"/>
    </w:rPr>
  </w:style>
  <w:style w:type="paragraph" w:styleId="Intestazione">
    <w:name w:val="header"/>
    <w:basedOn w:val="Normale"/>
    <w:link w:val="IntestazioneCarattere"/>
    <w:uiPriority w:val="99"/>
    <w:unhideWhenUsed/>
    <w:rsid w:val="00887A7D"/>
    <w:pPr>
      <w:tabs>
        <w:tab w:val="center" w:pos="4819"/>
        <w:tab w:val="right" w:pos="9638"/>
      </w:tabs>
    </w:pPr>
  </w:style>
  <w:style w:type="character" w:customStyle="1" w:styleId="IntestazioneCarattere">
    <w:name w:val="Intestazione Carattere"/>
    <w:basedOn w:val="Caratterepredefinitoparagrafo"/>
    <w:link w:val="Intestazione"/>
    <w:uiPriority w:val="99"/>
    <w:rsid w:val="00887A7D"/>
  </w:style>
  <w:style w:type="paragraph" w:styleId="Pidipagina">
    <w:name w:val="footer"/>
    <w:basedOn w:val="Normale"/>
    <w:link w:val="PidipaginaCarattere"/>
    <w:uiPriority w:val="99"/>
    <w:unhideWhenUsed/>
    <w:rsid w:val="00887A7D"/>
    <w:pPr>
      <w:tabs>
        <w:tab w:val="center" w:pos="4819"/>
        <w:tab w:val="right" w:pos="9638"/>
      </w:tabs>
    </w:pPr>
  </w:style>
  <w:style w:type="character" w:customStyle="1" w:styleId="PidipaginaCarattere">
    <w:name w:val="Piè di pagina Carattere"/>
    <w:basedOn w:val="Caratterepredefinitoparagrafo"/>
    <w:link w:val="Pidipagina"/>
    <w:uiPriority w:val="99"/>
    <w:rsid w:val="00887A7D"/>
  </w:style>
  <w:style w:type="paragraph" w:styleId="Testofumetto">
    <w:name w:val="Balloon Text"/>
    <w:basedOn w:val="Normale"/>
    <w:link w:val="TestofumettoCarattere"/>
    <w:uiPriority w:val="99"/>
    <w:semiHidden/>
    <w:unhideWhenUsed/>
    <w:rsid w:val="00887A7D"/>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887A7D"/>
    <w:rPr>
      <w:rFonts w:ascii="Lucida Grande" w:hAnsi="Lucida Grande" w:cs="Lucida Grande"/>
      <w:sz w:val="18"/>
      <w:szCs w:val="18"/>
    </w:rPr>
  </w:style>
  <w:style w:type="character" w:customStyle="1" w:styleId="Titolo1Carattere">
    <w:name w:val="Titolo 1 Carattere"/>
    <w:basedOn w:val="Caratterepredefinitoparagrafo"/>
    <w:link w:val="Titolo1"/>
    <w:uiPriority w:val="9"/>
    <w:rsid w:val="00BE6195"/>
    <w:rPr>
      <w:rFonts w:asciiTheme="majorHAnsi" w:eastAsiaTheme="majorEastAsia" w:hAnsiTheme="majorHAnsi" w:cstheme="majorBidi"/>
      <w:b/>
      <w:bCs/>
      <w:color w:val="008000"/>
      <w:sz w:val="22"/>
      <w:szCs w:val="32"/>
      <w:lang w:val="fr-FR"/>
    </w:rPr>
  </w:style>
  <w:style w:type="paragraph" w:customStyle="1" w:styleId="Titolo10">
    <w:name w:val="Titolo1"/>
    <w:basedOn w:val="Normale"/>
    <w:rsid w:val="00781F0D"/>
  </w:style>
  <w:style w:type="paragraph" w:styleId="Paragrafoelenco">
    <w:name w:val="List Paragraph"/>
    <w:basedOn w:val="Normale"/>
    <w:uiPriority w:val="34"/>
    <w:qFormat/>
    <w:rsid w:val="008E773F"/>
    <w:pPr>
      <w:ind w:left="720"/>
      <w:contextualSpacing/>
    </w:pPr>
  </w:style>
  <w:style w:type="paragraph" w:styleId="Testonotaapidipagina">
    <w:name w:val="footnote text"/>
    <w:aliases w:val="Testo nota a piè di pagina Carattere Carattere,Testo nota a piè di pagina Carattere1 Carattere,Testo nota a piè di pagina Carattere Carattere Carattere Carattere,stile 1,Footnote,Footnote1,footnotes,Carattere,Footnote2,f"/>
    <w:basedOn w:val="Normale"/>
    <w:link w:val="TestonotaapidipaginaCarattere"/>
    <w:uiPriority w:val="99"/>
    <w:unhideWhenUsed/>
    <w:qFormat/>
    <w:rsid w:val="009A1724"/>
    <w:rPr>
      <w:sz w:val="24"/>
    </w:rPr>
  </w:style>
  <w:style w:type="character" w:customStyle="1" w:styleId="TestonotaapidipaginaCarattere">
    <w:name w:val="Testo nota a piè di pagina Carattere"/>
    <w:aliases w:val="Testo nota a piè di pagina Carattere Carattere Carattere,Testo nota a piè di pagina Carattere1 Carattere Carattere,Testo nota a piè di pagina Carattere Carattere Carattere Carattere Carattere,stile 1 Carattere"/>
    <w:basedOn w:val="Caratterepredefinitoparagrafo"/>
    <w:link w:val="Testonotaapidipagina"/>
    <w:uiPriority w:val="99"/>
    <w:rsid w:val="009A1724"/>
    <w:rPr>
      <w:rFonts w:asciiTheme="majorHAnsi" w:hAnsiTheme="majorHAnsi"/>
      <w:lang w:val="fr-FR"/>
    </w:rPr>
  </w:style>
  <w:style w:type="character" w:styleId="Rimandonotaapidipagina">
    <w:name w:val="footnote reference"/>
    <w:aliases w:val="Rimando nota a piè di pagina1,Footnote symbol,footnote sign,BVI fnr,Voetnootverwijzing,Rimando nota a piè di pagina-IMONT,SUPERS,EN Footnote Reference,-E Fuﬂnotenzeichen,-E Fuûnotenzeichen,-E Fußnotenzeichen,DNV-FR,number"/>
    <w:basedOn w:val="Caratterepredefinitoparagrafo"/>
    <w:uiPriority w:val="99"/>
    <w:unhideWhenUsed/>
    <w:qFormat/>
    <w:rsid w:val="009A1724"/>
    <w:rPr>
      <w:vertAlign w:val="superscript"/>
    </w:rPr>
  </w:style>
  <w:style w:type="table" w:styleId="Grigliatabella">
    <w:name w:val="Table Grid"/>
    <w:basedOn w:val="Tabellanormale"/>
    <w:uiPriority w:val="59"/>
    <w:rsid w:val="008A62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basedOn w:val="Caratterepredefinitoparagrafo"/>
    <w:uiPriority w:val="99"/>
    <w:semiHidden/>
    <w:unhideWhenUsed/>
    <w:rsid w:val="00FF76EA"/>
    <w:rPr>
      <w:sz w:val="18"/>
      <w:szCs w:val="18"/>
    </w:rPr>
  </w:style>
  <w:style w:type="paragraph" w:styleId="Testocommento">
    <w:name w:val="annotation text"/>
    <w:basedOn w:val="Normale"/>
    <w:link w:val="TestocommentoCarattere"/>
    <w:uiPriority w:val="99"/>
    <w:semiHidden/>
    <w:unhideWhenUsed/>
    <w:rsid w:val="00FF76EA"/>
    <w:rPr>
      <w:sz w:val="24"/>
    </w:rPr>
  </w:style>
  <w:style w:type="character" w:customStyle="1" w:styleId="TestocommentoCarattere">
    <w:name w:val="Testo commento Carattere"/>
    <w:basedOn w:val="Caratterepredefinitoparagrafo"/>
    <w:link w:val="Testocommento"/>
    <w:uiPriority w:val="99"/>
    <w:semiHidden/>
    <w:rsid w:val="00FF76EA"/>
    <w:rPr>
      <w:rFonts w:asciiTheme="majorHAnsi" w:hAnsiTheme="majorHAnsi"/>
      <w:lang w:val="fr-FR"/>
    </w:rPr>
  </w:style>
  <w:style w:type="paragraph" w:styleId="Soggettocommento">
    <w:name w:val="annotation subject"/>
    <w:basedOn w:val="Testocommento"/>
    <w:next w:val="Testocommento"/>
    <w:link w:val="SoggettocommentoCarattere"/>
    <w:uiPriority w:val="99"/>
    <w:semiHidden/>
    <w:unhideWhenUsed/>
    <w:rsid w:val="00FF76EA"/>
    <w:rPr>
      <w:b/>
      <w:bCs/>
      <w:sz w:val="20"/>
      <w:szCs w:val="20"/>
    </w:rPr>
  </w:style>
  <w:style w:type="character" w:customStyle="1" w:styleId="SoggettocommentoCarattere">
    <w:name w:val="Soggetto commento Carattere"/>
    <w:basedOn w:val="TestocommentoCarattere"/>
    <w:link w:val="Soggettocommento"/>
    <w:uiPriority w:val="99"/>
    <w:semiHidden/>
    <w:rsid w:val="00FF76EA"/>
    <w:rPr>
      <w:rFonts w:asciiTheme="majorHAnsi" w:hAnsiTheme="majorHAnsi"/>
      <w:b/>
      <w:bCs/>
      <w:sz w:val="20"/>
      <w:szCs w:val="20"/>
      <w:lang w:val="fr-FR"/>
    </w:rPr>
  </w:style>
  <w:style w:type="paragraph" w:styleId="Sommario1">
    <w:name w:val="toc 1"/>
    <w:basedOn w:val="Normale"/>
    <w:next w:val="Normale"/>
    <w:autoRedefine/>
    <w:uiPriority w:val="39"/>
    <w:unhideWhenUsed/>
    <w:rsid w:val="00350AB0"/>
  </w:style>
  <w:style w:type="paragraph" w:styleId="Sommario2">
    <w:name w:val="toc 2"/>
    <w:basedOn w:val="Normale"/>
    <w:next w:val="Normale"/>
    <w:autoRedefine/>
    <w:uiPriority w:val="39"/>
    <w:unhideWhenUsed/>
    <w:rsid w:val="00350AB0"/>
    <w:pPr>
      <w:ind w:left="220"/>
    </w:pPr>
  </w:style>
  <w:style w:type="paragraph" w:styleId="Sommario3">
    <w:name w:val="toc 3"/>
    <w:basedOn w:val="Normale"/>
    <w:next w:val="Normale"/>
    <w:autoRedefine/>
    <w:uiPriority w:val="39"/>
    <w:unhideWhenUsed/>
    <w:rsid w:val="00350AB0"/>
    <w:pPr>
      <w:ind w:left="440"/>
    </w:pPr>
  </w:style>
  <w:style w:type="paragraph" w:styleId="Sommario4">
    <w:name w:val="toc 4"/>
    <w:basedOn w:val="Normale"/>
    <w:next w:val="Normale"/>
    <w:autoRedefine/>
    <w:uiPriority w:val="39"/>
    <w:unhideWhenUsed/>
    <w:rsid w:val="00350AB0"/>
    <w:pPr>
      <w:ind w:left="660"/>
    </w:pPr>
  </w:style>
  <w:style w:type="paragraph" w:styleId="Sommario5">
    <w:name w:val="toc 5"/>
    <w:basedOn w:val="Normale"/>
    <w:next w:val="Normale"/>
    <w:autoRedefine/>
    <w:uiPriority w:val="39"/>
    <w:unhideWhenUsed/>
    <w:rsid w:val="00350AB0"/>
    <w:pPr>
      <w:ind w:left="880"/>
    </w:pPr>
  </w:style>
  <w:style w:type="paragraph" w:styleId="Sommario6">
    <w:name w:val="toc 6"/>
    <w:basedOn w:val="Normale"/>
    <w:next w:val="Normale"/>
    <w:autoRedefine/>
    <w:uiPriority w:val="39"/>
    <w:unhideWhenUsed/>
    <w:rsid w:val="00350AB0"/>
    <w:pPr>
      <w:ind w:left="1100"/>
    </w:pPr>
  </w:style>
  <w:style w:type="paragraph" w:styleId="Sommario7">
    <w:name w:val="toc 7"/>
    <w:basedOn w:val="Normale"/>
    <w:next w:val="Normale"/>
    <w:autoRedefine/>
    <w:uiPriority w:val="39"/>
    <w:unhideWhenUsed/>
    <w:rsid w:val="00350AB0"/>
    <w:pPr>
      <w:ind w:left="1320"/>
    </w:pPr>
  </w:style>
  <w:style w:type="paragraph" w:styleId="Sommario8">
    <w:name w:val="toc 8"/>
    <w:basedOn w:val="Normale"/>
    <w:next w:val="Normale"/>
    <w:autoRedefine/>
    <w:uiPriority w:val="39"/>
    <w:unhideWhenUsed/>
    <w:rsid w:val="00350AB0"/>
    <w:pPr>
      <w:ind w:left="1540"/>
    </w:pPr>
  </w:style>
  <w:style w:type="paragraph" w:styleId="Sommario9">
    <w:name w:val="toc 9"/>
    <w:basedOn w:val="Normale"/>
    <w:next w:val="Normale"/>
    <w:autoRedefine/>
    <w:uiPriority w:val="39"/>
    <w:unhideWhenUsed/>
    <w:rsid w:val="00350AB0"/>
    <w:pPr>
      <w:ind w:left="1760"/>
    </w:pPr>
  </w:style>
  <w:style w:type="character" w:styleId="Numeropagina">
    <w:name w:val="page number"/>
    <w:basedOn w:val="Caratterepredefinitoparagrafo"/>
    <w:uiPriority w:val="99"/>
    <w:semiHidden/>
    <w:unhideWhenUsed/>
    <w:rsid w:val="00900D25"/>
  </w:style>
  <w:style w:type="paragraph" w:styleId="Revisione">
    <w:name w:val="Revision"/>
    <w:hidden/>
    <w:uiPriority w:val="99"/>
    <w:semiHidden/>
    <w:rsid w:val="002D37D9"/>
    <w:rPr>
      <w:rFonts w:asciiTheme="majorHAnsi" w:hAnsiTheme="majorHAnsi"/>
      <w:sz w:val="22"/>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81F0D"/>
    <w:rPr>
      <w:rFonts w:asciiTheme="majorHAnsi" w:hAnsiTheme="majorHAnsi"/>
      <w:sz w:val="22"/>
      <w:lang w:val="fr-FR"/>
    </w:rPr>
  </w:style>
  <w:style w:type="paragraph" w:styleId="Titolo1">
    <w:name w:val="heading 1"/>
    <w:basedOn w:val="Normale"/>
    <w:next w:val="Normale"/>
    <w:link w:val="Titolo1Carattere"/>
    <w:uiPriority w:val="9"/>
    <w:qFormat/>
    <w:rsid w:val="00BE6195"/>
    <w:pPr>
      <w:keepNext/>
      <w:keepLines/>
      <w:spacing w:before="480"/>
      <w:outlineLvl w:val="0"/>
    </w:pPr>
    <w:rPr>
      <w:rFonts w:eastAsiaTheme="majorEastAsia" w:cstheme="majorBidi"/>
      <w:b/>
      <w:bCs/>
      <w:color w:val="008000"/>
      <w:szCs w:val="32"/>
    </w:rPr>
  </w:style>
  <w:style w:type="paragraph" w:styleId="Titolo2">
    <w:name w:val="heading 2"/>
    <w:basedOn w:val="Normale"/>
    <w:next w:val="Normale"/>
    <w:link w:val="Titolo2Carattere"/>
    <w:autoRedefine/>
    <w:uiPriority w:val="9"/>
    <w:unhideWhenUsed/>
    <w:qFormat/>
    <w:rsid w:val="00F42C80"/>
    <w:pPr>
      <w:keepNext/>
      <w:keepLines/>
      <w:numPr>
        <w:ilvl w:val="1"/>
        <w:numId w:val="28"/>
      </w:numPr>
      <w:tabs>
        <w:tab w:val="left" w:pos="709"/>
        <w:tab w:val="left" w:pos="4395"/>
      </w:tabs>
      <w:spacing w:before="200"/>
      <w:outlineLvl w:val="1"/>
    </w:pPr>
    <w:rPr>
      <w:rFonts w:eastAsiaTheme="majorEastAsia" w:cstheme="majorBidi"/>
      <w:b/>
      <w:bCs/>
      <w:color w:val="008000"/>
      <w:szCs w:val="22"/>
      <w:lang w:eastAsia="ja-JP"/>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atterepredefinitoparagrafo"/>
    <w:link w:val="Titolo2"/>
    <w:uiPriority w:val="9"/>
    <w:rsid w:val="00F42C80"/>
    <w:rPr>
      <w:rFonts w:asciiTheme="majorHAnsi" w:eastAsiaTheme="majorEastAsia" w:hAnsiTheme="majorHAnsi" w:cstheme="majorBidi"/>
      <w:b/>
      <w:bCs/>
      <w:color w:val="008000"/>
      <w:sz w:val="22"/>
      <w:szCs w:val="22"/>
      <w:lang w:val="fr-FR" w:eastAsia="ja-JP"/>
    </w:rPr>
  </w:style>
  <w:style w:type="paragraph" w:styleId="Intestazione">
    <w:name w:val="header"/>
    <w:basedOn w:val="Normale"/>
    <w:link w:val="IntestazioneCarattere"/>
    <w:uiPriority w:val="99"/>
    <w:unhideWhenUsed/>
    <w:rsid w:val="00887A7D"/>
    <w:pPr>
      <w:tabs>
        <w:tab w:val="center" w:pos="4819"/>
        <w:tab w:val="right" w:pos="9638"/>
      </w:tabs>
    </w:pPr>
  </w:style>
  <w:style w:type="character" w:customStyle="1" w:styleId="IntestazioneCarattere">
    <w:name w:val="Intestazione Carattere"/>
    <w:basedOn w:val="Caratterepredefinitoparagrafo"/>
    <w:link w:val="Intestazione"/>
    <w:uiPriority w:val="99"/>
    <w:rsid w:val="00887A7D"/>
  </w:style>
  <w:style w:type="paragraph" w:styleId="Pidipagina">
    <w:name w:val="footer"/>
    <w:basedOn w:val="Normale"/>
    <w:link w:val="PidipaginaCarattere"/>
    <w:uiPriority w:val="99"/>
    <w:unhideWhenUsed/>
    <w:rsid w:val="00887A7D"/>
    <w:pPr>
      <w:tabs>
        <w:tab w:val="center" w:pos="4819"/>
        <w:tab w:val="right" w:pos="9638"/>
      </w:tabs>
    </w:pPr>
  </w:style>
  <w:style w:type="character" w:customStyle="1" w:styleId="PidipaginaCarattere">
    <w:name w:val="Piè di pagina Carattere"/>
    <w:basedOn w:val="Caratterepredefinitoparagrafo"/>
    <w:link w:val="Pidipagina"/>
    <w:uiPriority w:val="99"/>
    <w:rsid w:val="00887A7D"/>
  </w:style>
  <w:style w:type="paragraph" w:styleId="Testofumetto">
    <w:name w:val="Balloon Text"/>
    <w:basedOn w:val="Normale"/>
    <w:link w:val="TestofumettoCarattere"/>
    <w:uiPriority w:val="99"/>
    <w:semiHidden/>
    <w:unhideWhenUsed/>
    <w:rsid w:val="00887A7D"/>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887A7D"/>
    <w:rPr>
      <w:rFonts w:ascii="Lucida Grande" w:hAnsi="Lucida Grande" w:cs="Lucida Grande"/>
      <w:sz w:val="18"/>
      <w:szCs w:val="18"/>
    </w:rPr>
  </w:style>
  <w:style w:type="character" w:customStyle="1" w:styleId="Titolo1Carattere">
    <w:name w:val="Titolo 1 Carattere"/>
    <w:basedOn w:val="Caratterepredefinitoparagrafo"/>
    <w:link w:val="Titolo1"/>
    <w:uiPriority w:val="9"/>
    <w:rsid w:val="00BE6195"/>
    <w:rPr>
      <w:rFonts w:asciiTheme="majorHAnsi" w:eastAsiaTheme="majorEastAsia" w:hAnsiTheme="majorHAnsi" w:cstheme="majorBidi"/>
      <w:b/>
      <w:bCs/>
      <w:color w:val="008000"/>
      <w:sz w:val="22"/>
      <w:szCs w:val="32"/>
      <w:lang w:val="fr-FR"/>
    </w:rPr>
  </w:style>
  <w:style w:type="paragraph" w:customStyle="1" w:styleId="Titolo10">
    <w:name w:val="Titolo1"/>
    <w:basedOn w:val="Normale"/>
    <w:rsid w:val="00781F0D"/>
  </w:style>
  <w:style w:type="paragraph" w:styleId="Paragrafoelenco">
    <w:name w:val="List Paragraph"/>
    <w:basedOn w:val="Normale"/>
    <w:uiPriority w:val="34"/>
    <w:qFormat/>
    <w:rsid w:val="008E773F"/>
    <w:pPr>
      <w:ind w:left="720"/>
      <w:contextualSpacing/>
    </w:pPr>
  </w:style>
  <w:style w:type="paragraph" w:styleId="Testonotaapidipagina">
    <w:name w:val="footnote text"/>
    <w:aliases w:val="Testo nota a piè di pagina Carattere Carattere,Testo nota a piè di pagina Carattere1 Carattere,Testo nota a piè di pagina Carattere Carattere Carattere Carattere,stile 1,Footnote,Footnote1,footnotes,Carattere,Footnote2,f"/>
    <w:basedOn w:val="Normale"/>
    <w:link w:val="TestonotaapidipaginaCarattere"/>
    <w:uiPriority w:val="99"/>
    <w:unhideWhenUsed/>
    <w:qFormat/>
    <w:rsid w:val="009A1724"/>
    <w:rPr>
      <w:sz w:val="24"/>
    </w:rPr>
  </w:style>
  <w:style w:type="character" w:customStyle="1" w:styleId="TestonotaapidipaginaCarattere">
    <w:name w:val="Testo nota a piè di pagina Carattere"/>
    <w:aliases w:val="Testo nota a piè di pagina Carattere Carattere Carattere,Testo nota a piè di pagina Carattere1 Carattere Carattere,Testo nota a piè di pagina Carattere Carattere Carattere Carattere Carattere,stile 1 Carattere"/>
    <w:basedOn w:val="Caratterepredefinitoparagrafo"/>
    <w:link w:val="Testonotaapidipagina"/>
    <w:uiPriority w:val="99"/>
    <w:rsid w:val="009A1724"/>
    <w:rPr>
      <w:rFonts w:asciiTheme="majorHAnsi" w:hAnsiTheme="majorHAnsi"/>
      <w:lang w:val="fr-FR"/>
    </w:rPr>
  </w:style>
  <w:style w:type="character" w:styleId="Rimandonotaapidipagina">
    <w:name w:val="footnote reference"/>
    <w:aliases w:val="Rimando nota a piè di pagina1,Footnote symbol,footnote sign,BVI fnr,Voetnootverwijzing,Rimando nota a piè di pagina-IMONT,SUPERS,EN Footnote Reference,-E Fuﬂnotenzeichen,-E Fuûnotenzeichen,-E Fußnotenzeichen,DNV-FR,number"/>
    <w:basedOn w:val="Caratterepredefinitoparagrafo"/>
    <w:uiPriority w:val="99"/>
    <w:unhideWhenUsed/>
    <w:qFormat/>
    <w:rsid w:val="009A1724"/>
    <w:rPr>
      <w:vertAlign w:val="superscript"/>
    </w:rPr>
  </w:style>
  <w:style w:type="table" w:styleId="Grigliatabella">
    <w:name w:val="Table Grid"/>
    <w:basedOn w:val="Tabellanormale"/>
    <w:uiPriority w:val="59"/>
    <w:rsid w:val="008A62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basedOn w:val="Caratterepredefinitoparagrafo"/>
    <w:uiPriority w:val="99"/>
    <w:semiHidden/>
    <w:unhideWhenUsed/>
    <w:rsid w:val="00FF76EA"/>
    <w:rPr>
      <w:sz w:val="18"/>
      <w:szCs w:val="18"/>
    </w:rPr>
  </w:style>
  <w:style w:type="paragraph" w:styleId="Testocommento">
    <w:name w:val="annotation text"/>
    <w:basedOn w:val="Normale"/>
    <w:link w:val="TestocommentoCarattere"/>
    <w:uiPriority w:val="99"/>
    <w:semiHidden/>
    <w:unhideWhenUsed/>
    <w:rsid w:val="00FF76EA"/>
    <w:rPr>
      <w:sz w:val="24"/>
    </w:rPr>
  </w:style>
  <w:style w:type="character" w:customStyle="1" w:styleId="TestocommentoCarattere">
    <w:name w:val="Testo commento Carattere"/>
    <w:basedOn w:val="Caratterepredefinitoparagrafo"/>
    <w:link w:val="Testocommento"/>
    <w:uiPriority w:val="99"/>
    <w:semiHidden/>
    <w:rsid w:val="00FF76EA"/>
    <w:rPr>
      <w:rFonts w:asciiTheme="majorHAnsi" w:hAnsiTheme="majorHAnsi"/>
      <w:lang w:val="fr-FR"/>
    </w:rPr>
  </w:style>
  <w:style w:type="paragraph" w:styleId="Soggettocommento">
    <w:name w:val="annotation subject"/>
    <w:basedOn w:val="Testocommento"/>
    <w:next w:val="Testocommento"/>
    <w:link w:val="SoggettocommentoCarattere"/>
    <w:uiPriority w:val="99"/>
    <w:semiHidden/>
    <w:unhideWhenUsed/>
    <w:rsid w:val="00FF76EA"/>
    <w:rPr>
      <w:b/>
      <w:bCs/>
      <w:sz w:val="20"/>
      <w:szCs w:val="20"/>
    </w:rPr>
  </w:style>
  <w:style w:type="character" w:customStyle="1" w:styleId="SoggettocommentoCarattere">
    <w:name w:val="Soggetto commento Carattere"/>
    <w:basedOn w:val="TestocommentoCarattere"/>
    <w:link w:val="Soggettocommento"/>
    <w:uiPriority w:val="99"/>
    <w:semiHidden/>
    <w:rsid w:val="00FF76EA"/>
    <w:rPr>
      <w:rFonts w:asciiTheme="majorHAnsi" w:hAnsiTheme="majorHAnsi"/>
      <w:b/>
      <w:bCs/>
      <w:sz w:val="20"/>
      <w:szCs w:val="20"/>
      <w:lang w:val="fr-FR"/>
    </w:rPr>
  </w:style>
  <w:style w:type="paragraph" w:styleId="Sommario1">
    <w:name w:val="toc 1"/>
    <w:basedOn w:val="Normale"/>
    <w:next w:val="Normale"/>
    <w:autoRedefine/>
    <w:uiPriority w:val="39"/>
    <w:unhideWhenUsed/>
    <w:rsid w:val="00350AB0"/>
  </w:style>
  <w:style w:type="paragraph" w:styleId="Sommario2">
    <w:name w:val="toc 2"/>
    <w:basedOn w:val="Normale"/>
    <w:next w:val="Normale"/>
    <w:autoRedefine/>
    <w:uiPriority w:val="39"/>
    <w:unhideWhenUsed/>
    <w:rsid w:val="00350AB0"/>
    <w:pPr>
      <w:ind w:left="220"/>
    </w:pPr>
  </w:style>
  <w:style w:type="paragraph" w:styleId="Sommario3">
    <w:name w:val="toc 3"/>
    <w:basedOn w:val="Normale"/>
    <w:next w:val="Normale"/>
    <w:autoRedefine/>
    <w:uiPriority w:val="39"/>
    <w:unhideWhenUsed/>
    <w:rsid w:val="00350AB0"/>
    <w:pPr>
      <w:ind w:left="440"/>
    </w:pPr>
  </w:style>
  <w:style w:type="paragraph" w:styleId="Sommario4">
    <w:name w:val="toc 4"/>
    <w:basedOn w:val="Normale"/>
    <w:next w:val="Normale"/>
    <w:autoRedefine/>
    <w:uiPriority w:val="39"/>
    <w:unhideWhenUsed/>
    <w:rsid w:val="00350AB0"/>
    <w:pPr>
      <w:ind w:left="660"/>
    </w:pPr>
  </w:style>
  <w:style w:type="paragraph" w:styleId="Sommario5">
    <w:name w:val="toc 5"/>
    <w:basedOn w:val="Normale"/>
    <w:next w:val="Normale"/>
    <w:autoRedefine/>
    <w:uiPriority w:val="39"/>
    <w:unhideWhenUsed/>
    <w:rsid w:val="00350AB0"/>
    <w:pPr>
      <w:ind w:left="880"/>
    </w:pPr>
  </w:style>
  <w:style w:type="paragraph" w:styleId="Sommario6">
    <w:name w:val="toc 6"/>
    <w:basedOn w:val="Normale"/>
    <w:next w:val="Normale"/>
    <w:autoRedefine/>
    <w:uiPriority w:val="39"/>
    <w:unhideWhenUsed/>
    <w:rsid w:val="00350AB0"/>
    <w:pPr>
      <w:ind w:left="1100"/>
    </w:pPr>
  </w:style>
  <w:style w:type="paragraph" w:styleId="Sommario7">
    <w:name w:val="toc 7"/>
    <w:basedOn w:val="Normale"/>
    <w:next w:val="Normale"/>
    <w:autoRedefine/>
    <w:uiPriority w:val="39"/>
    <w:unhideWhenUsed/>
    <w:rsid w:val="00350AB0"/>
    <w:pPr>
      <w:ind w:left="1320"/>
    </w:pPr>
  </w:style>
  <w:style w:type="paragraph" w:styleId="Sommario8">
    <w:name w:val="toc 8"/>
    <w:basedOn w:val="Normale"/>
    <w:next w:val="Normale"/>
    <w:autoRedefine/>
    <w:uiPriority w:val="39"/>
    <w:unhideWhenUsed/>
    <w:rsid w:val="00350AB0"/>
    <w:pPr>
      <w:ind w:left="1540"/>
    </w:pPr>
  </w:style>
  <w:style w:type="paragraph" w:styleId="Sommario9">
    <w:name w:val="toc 9"/>
    <w:basedOn w:val="Normale"/>
    <w:next w:val="Normale"/>
    <w:autoRedefine/>
    <w:uiPriority w:val="39"/>
    <w:unhideWhenUsed/>
    <w:rsid w:val="00350AB0"/>
    <w:pPr>
      <w:ind w:left="1760"/>
    </w:pPr>
  </w:style>
  <w:style w:type="character" w:styleId="Numeropagina">
    <w:name w:val="page number"/>
    <w:basedOn w:val="Caratterepredefinitoparagrafo"/>
    <w:uiPriority w:val="99"/>
    <w:semiHidden/>
    <w:unhideWhenUsed/>
    <w:rsid w:val="00900D25"/>
  </w:style>
  <w:style w:type="paragraph" w:styleId="Revisione">
    <w:name w:val="Revision"/>
    <w:hidden/>
    <w:uiPriority w:val="99"/>
    <w:semiHidden/>
    <w:rsid w:val="002D37D9"/>
    <w:rPr>
      <w:rFonts w:asciiTheme="majorHAnsi" w:hAnsiTheme="majorHAnsi"/>
      <w:sz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826277">
      <w:bodyDiv w:val="1"/>
      <w:marLeft w:val="0"/>
      <w:marRight w:val="0"/>
      <w:marTop w:val="0"/>
      <w:marBottom w:val="0"/>
      <w:divBdr>
        <w:top w:val="none" w:sz="0" w:space="0" w:color="auto"/>
        <w:left w:val="none" w:sz="0" w:space="0" w:color="auto"/>
        <w:bottom w:val="none" w:sz="0" w:space="0" w:color="auto"/>
        <w:right w:val="none" w:sz="0" w:space="0" w:color="auto"/>
      </w:divBdr>
    </w:div>
    <w:div w:id="408700158">
      <w:bodyDiv w:val="1"/>
      <w:marLeft w:val="0"/>
      <w:marRight w:val="0"/>
      <w:marTop w:val="0"/>
      <w:marBottom w:val="0"/>
      <w:divBdr>
        <w:top w:val="none" w:sz="0" w:space="0" w:color="auto"/>
        <w:left w:val="none" w:sz="0" w:space="0" w:color="auto"/>
        <w:bottom w:val="none" w:sz="0" w:space="0" w:color="auto"/>
        <w:right w:val="none" w:sz="0" w:space="0" w:color="auto"/>
      </w:divBdr>
    </w:div>
    <w:div w:id="563680007">
      <w:bodyDiv w:val="1"/>
      <w:marLeft w:val="0"/>
      <w:marRight w:val="0"/>
      <w:marTop w:val="0"/>
      <w:marBottom w:val="0"/>
      <w:divBdr>
        <w:top w:val="none" w:sz="0" w:space="0" w:color="auto"/>
        <w:left w:val="none" w:sz="0" w:space="0" w:color="auto"/>
        <w:bottom w:val="none" w:sz="0" w:space="0" w:color="auto"/>
        <w:right w:val="none" w:sz="0" w:space="0" w:color="auto"/>
      </w:divBdr>
    </w:div>
    <w:div w:id="568811407">
      <w:bodyDiv w:val="1"/>
      <w:marLeft w:val="0"/>
      <w:marRight w:val="0"/>
      <w:marTop w:val="0"/>
      <w:marBottom w:val="0"/>
      <w:divBdr>
        <w:top w:val="none" w:sz="0" w:space="0" w:color="auto"/>
        <w:left w:val="none" w:sz="0" w:space="0" w:color="auto"/>
        <w:bottom w:val="none" w:sz="0" w:space="0" w:color="auto"/>
        <w:right w:val="none" w:sz="0" w:space="0" w:color="auto"/>
      </w:divBdr>
    </w:div>
    <w:div w:id="733117483">
      <w:bodyDiv w:val="1"/>
      <w:marLeft w:val="0"/>
      <w:marRight w:val="0"/>
      <w:marTop w:val="0"/>
      <w:marBottom w:val="0"/>
      <w:divBdr>
        <w:top w:val="none" w:sz="0" w:space="0" w:color="auto"/>
        <w:left w:val="none" w:sz="0" w:space="0" w:color="auto"/>
        <w:bottom w:val="none" w:sz="0" w:space="0" w:color="auto"/>
        <w:right w:val="none" w:sz="0" w:space="0" w:color="auto"/>
      </w:divBdr>
    </w:div>
    <w:div w:id="969670899">
      <w:bodyDiv w:val="1"/>
      <w:marLeft w:val="0"/>
      <w:marRight w:val="0"/>
      <w:marTop w:val="0"/>
      <w:marBottom w:val="0"/>
      <w:divBdr>
        <w:top w:val="none" w:sz="0" w:space="0" w:color="auto"/>
        <w:left w:val="none" w:sz="0" w:space="0" w:color="auto"/>
        <w:bottom w:val="none" w:sz="0" w:space="0" w:color="auto"/>
        <w:right w:val="none" w:sz="0" w:space="0" w:color="auto"/>
      </w:divBdr>
    </w:div>
    <w:div w:id="977302389">
      <w:bodyDiv w:val="1"/>
      <w:marLeft w:val="0"/>
      <w:marRight w:val="0"/>
      <w:marTop w:val="0"/>
      <w:marBottom w:val="0"/>
      <w:divBdr>
        <w:top w:val="none" w:sz="0" w:space="0" w:color="auto"/>
        <w:left w:val="none" w:sz="0" w:space="0" w:color="auto"/>
        <w:bottom w:val="none" w:sz="0" w:space="0" w:color="auto"/>
        <w:right w:val="none" w:sz="0" w:space="0" w:color="auto"/>
      </w:divBdr>
    </w:div>
    <w:div w:id="1049649693">
      <w:bodyDiv w:val="1"/>
      <w:marLeft w:val="0"/>
      <w:marRight w:val="0"/>
      <w:marTop w:val="0"/>
      <w:marBottom w:val="0"/>
      <w:divBdr>
        <w:top w:val="none" w:sz="0" w:space="0" w:color="auto"/>
        <w:left w:val="none" w:sz="0" w:space="0" w:color="auto"/>
        <w:bottom w:val="none" w:sz="0" w:space="0" w:color="auto"/>
        <w:right w:val="none" w:sz="0" w:space="0" w:color="auto"/>
      </w:divBdr>
    </w:div>
    <w:div w:id="1114053140">
      <w:bodyDiv w:val="1"/>
      <w:marLeft w:val="0"/>
      <w:marRight w:val="0"/>
      <w:marTop w:val="0"/>
      <w:marBottom w:val="0"/>
      <w:divBdr>
        <w:top w:val="none" w:sz="0" w:space="0" w:color="auto"/>
        <w:left w:val="none" w:sz="0" w:space="0" w:color="auto"/>
        <w:bottom w:val="none" w:sz="0" w:space="0" w:color="auto"/>
        <w:right w:val="none" w:sz="0" w:space="0" w:color="auto"/>
      </w:divBdr>
    </w:div>
    <w:div w:id="1144854978">
      <w:bodyDiv w:val="1"/>
      <w:marLeft w:val="0"/>
      <w:marRight w:val="0"/>
      <w:marTop w:val="0"/>
      <w:marBottom w:val="0"/>
      <w:divBdr>
        <w:top w:val="none" w:sz="0" w:space="0" w:color="auto"/>
        <w:left w:val="none" w:sz="0" w:space="0" w:color="auto"/>
        <w:bottom w:val="none" w:sz="0" w:space="0" w:color="auto"/>
        <w:right w:val="none" w:sz="0" w:space="0" w:color="auto"/>
      </w:divBdr>
    </w:div>
    <w:div w:id="1198354021">
      <w:bodyDiv w:val="1"/>
      <w:marLeft w:val="0"/>
      <w:marRight w:val="0"/>
      <w:marTop w:val="0"/>
      <w:marBottom w:val="0"/>
      <w:divBdr>
        <w:top w:val="none" w:sz="0" w:space="0" w:color="auto"/>
        <w:left w:val="none" w:sz="0" w:space="0" w:color="auto"/>
        <w:bottom w:val="none" w:sz="0" w:space="0" w:color="auto"/>
        <w:right w:val="none" w:sz="0" w:space="0" w:color="auto"/>
      </w:divBdr>
    </w:div>
    <w:div w:id="1242175906">
      <w:bodyDiv w:val="1"/>
      <w:marLeft w:val="0"/>
      <w:marRight w:val="0"/>
      <w:marTop w:val="0"/>
      <w:marBottom w:val="0"/>
      <w:divBdr>
        <w:top w:val="none" w:sz="0" w:space="0" w:color="auto"/>
        <w:left w:val="none" w:sz="0" w:space="0" w:color="auto"/>
        <w:bottom w:val="none" w:sz="0" w:space="0" w:color="auto"/>
        <w:right w:val="none" w:sz="0" w:space="0" w:color="auto"/>
      </w:divBdr>
    </w:div>
    <w:div w:id="1350720693">
      <w:bodyDiv w:val="1"/>
      <w:marLeft w:val="0"/>
      <w:marRight w:val="0"/>
      <w:marTop w:val="0"/>
      <w:marBottom w:val="0"/>
      <w:divBdr>
        <w:top w:val="none" w:sz="0" w:space="0" w:color="auto"/>
        <w:left w:val="none" w:sz="0" w:space="0" w:color="auto"/>
        <w:bottom w:val="none" w:sz="0" w:space="0" w:color="auto"/>
        <w:right w:val="none" w:sz="0" w:space="0" w:color="auto"/>
      </w:divBdr>
    </w:div>
    <w:div w:id="1455905180">
      <w:bodyDiv w:val="1"/>
      <w:marLeft w:val="0"/>
      <w:marRight w:val="0"/>
      <w:marTop w:val="0"/>
      <w:marBottom w:val="0"/>
      <w:divBdr>
        <w:top w:val="none" w:sz="0" w:space="0" w:color="auto"/>
        <w:left w:val="none" w:sz="0" w:space="0" w:color="auto"/>
        <w:bottom w:val="none" w:sz="0" w:space="0" w:color="auto"/>
        <w:right w:val="none" w:sz="0" w:space="0" w:color="auto"/>
      </w:divBdr>
    </w:div>
    <w:div w:id="1474055709">
      <w:bodyDiv w:val="1"/>
      <w:marLeft w:val="0"/>
      <w:marRight w:val="0"/>
      <w:marTop w:val="0"/>
      <w:marBottom w:val="0"/>
      <w:divBdr>
        <w:top w:val="none" w:sz="0" w:space="0" w:color="auto"/>
        <w:left w:val="none" w:sz="0" w:space="0" w:color="auto"/>
        <w:bottom w:val="none" w:sz="0" w:space="0" w:color="auto"/>
        <w:right w:val="none" w:sz="0" w:space="0" w:color="auto"/>
      </w:divBdr>
    </w:div>
    <w:div w:id="1639266028">
      <w:bodyDiv w:val="1"/>
      <w:marLeft w:val="0"/>
      <w:marRight w:val="0"/>
      <w:marTop w:val="0"/>
      <w:marBottom w:val="0"/>
      <w:divBdr>
        <w:top w:val="none" w:sz="0" w:space="0" w:color="auto"/>
        <w:left w:val="none" w:sz="0" w:space="0" w:color="auto"/>
        <w:bottom w:val="none" w:sz="0" w:space="0" w:color="auto"/>
        <w:right w:val="none" w:sz="0" w:space="0" w:color="auto"/>
      </w:divBdr>
    </w:div>
    <w:div w:id="1698703017">
      <w:bodyDiv w:val="1"/>
      <w:marLeft w:val="0"/>
      <w:marRight w:val="0"/>
      <w:marTop w:val="0"/>
      <w:marBottom w:val="0"/>
      <w:divBdr>
        <w:top w:val="none" w:sz="0" w:space="0" w:color="auto"/>
        <w:left w:val="none" w:sz="0" w:space="0" w:color="auto"/>
        <w:bottom w:val="none" w:sz="0" w:space="0" w:color="auto"/>
        <w:right w:val="none" w:sz="0" w:space="0" w:color="auto"/>
      </w:divBdr>
    </w:div>
    <w:div w:id="1817455152">
      <w:bodyDiv w:val="1"/>
      <w:marLeft w:val="0"/>
      <w:marRight w:val="0"/>
      <w:marTop w:val="0"/>
      <w:marBottom w:val="0"/>
      <w:divBdr>
        <w:top w:val="none" w:sz="0" w:space="0" w:color="auto"/>
        <w:left w:val="none" w:sz="0" w:space="0" w:color="auto"/>
        <w:bottom w:val="none" w:sz="0" w:space="0" w:color="auto"/>
        <w:right w:val="none" w:sz="0" w:space="0" w:color="auto"/>
      </w:divBdr>
    </w:div>
    <w:div w:id="1828352342">
      <w:bodyDiv w:val="1"/>
      <w:marLeft w:val="0"/>
      <w:marRight w:val="0"/>
      <w:marTop w:val="0"/>
      <w:marBottom w:val="0"/>
      <w:divBdr>
        <w:top w:val="none" w:sz="0" w:space="0" w:color="auto"/>
        <w:left w:val="none" w:sz="0" w:space="0" w:color="auto"/>
        <w:bottom w:val="none" w:sz="0" w:space="0" w:color="auto"/>
        <w:right w:val="none" w:sz="0" w:space="0" w:color="auto"/>
      </w:divBdr>
    </w:div>
    <w:div w:id="2048524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emf"/><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20" Type="http://schemas.microsoft.com/office/2011/relationships/commentsExtended" Target="commentsExtended.xml"/><Relationship Id="rId21"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emf"/></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4" Type="http://schemas.openxmlformats.org/officeDocument/2006/relationships/image" Target="media/image7.png"/><Relationship Id="rId5" Type="http://schemas.openxmlformats.org/officeDocument/2006/relationships/image" Target="media/image8.png"/><Relationship Id="rId1" Type="http://schemas.openxmlformats.org/officeDocument/2006/relationships/image" Target="media/image4.png"/><Relationship Id="rId2"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4" Type="http://schemas.openxmlformats.org/officeDocument/2006/relationships/image" Target="media/image7.png"/><Relationship Id="rId5" Type="http://schemas.openxmlformats.org/officeDocument/2006/relationships/image" Target="media/image8.png"/><Relationship Id="rId1" Type="http://schemas.openxmlformats.org/officeDocument/2006/relationships/image" Target="media/image4.png"/><Relationship Id="rId2"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99E1E-74FC-154D-A146-E558C496A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Pages>
  <Words>3545</Words>
  <Characters>20213</Characters>
  <Application>Microsoft Macintosh Word</Application>
  <DocSecurity>0</DocSecurity>
  <Lines>168</Lines>
  <Paragraphs>47</Paragraphs>
  <ScaleCrop>false</ScaleCrop>
  <HeadingPairs>
    <vt:vector size="2" baseType="variant">
      <vt:variant>
        <vt:lpstr>Titolo</vt:lpstr>
      </vt:variant>
      <vt:variant>
        <vt:i4>1</vt:i4>
      </vt:variant>
    </vt:vector>
  </HeadingPairs>
  <TitlesOfParts>
    <vt:vector size="1" baseType="lpstr">
      <vt:lpstr/>
    </vt:vector>
  </TitlesOfParts>
  <Company>Regione Siciliana</Company>
  <LinksUpToDate>false</LinksUpToDate>
  <CharactersWithSpaces>23711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dc:creator>
  <cp:lastModifiedBy>STC</cp:lastModifiedBy>
  <cp:revision>11</cp:revision>
  <cp:lastPrinted>2022-02-14T17:11:00Z</cp:lastPrinted>
  <dcterms:created xsi:type="dcterms:W3CDTF">2022-02-24T20:22:00Z</dcterms:created>
  <dcterms:modified xsi:type="dcterms:W3CDTF">2022-03-01T11:57:00Z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a03c14-1435-4ef5-bb92-af8fb4129243_Enabled">
    <vt:lpwstr>true</vt:lpwstr>
  </property>
  <property fmtid="{D5CDD505-2E9C-101B-9397-08002B2CF9AE}" pid="3" name="MSIP_Label_dea03c14-1435-4ef5-bb92-af8fb4129243_SetDate">
    <vt:lpwstr>2022-02-14T18:15:34Z</vt:lpwstr>
  </property>
  <property fmtid="{D5CDD505-2E9C-101B-9397-08002B2CF9AE}" pid="4" name="MSIP_Label_dea03c14-1435-4ef5-bb92-af8fb4129243_Method">
    <vt:lpwstr>Privileged</vt:lpwstr>
  </property>
  <property fmtid="{D5CDD505-2E9C-101B-9397-08002B2CF9AE}" pid="5" name="MSIP_Label_dea03c14-1435-4ef5-bb92-af8fb4129243_Name">
    <vt:lpwstr>dea03c14-1435-4ef5-bb92-af8fb4129243</vt:lpwstr>
  </property>
  <property fmtid="{D5CDD505-2E9C-101B-9397-08002B2CF9AE}" pid="6" name="MSIP_Label_dea03c14-1435-4ef5-bb92-af8fb4129243_SiteId">
    <vt:lpwstr>8c4b47b5-ea35-4370-817f-95066d4f8467</vt:lpwstr>
  </property>
  <property fmtid="{D5CDD505-2E9C-101B-9397-08002B2CF9AE}" pid="7" name="MSIP_Label_dea03c14-1435-4ef5-bb92-af8fb4129243_ActionId">
    <vt:lpwstr>a4bf5f6d-4218-4251-8123-864c582aa2bf</vt:lpwstr>
  </property>
  <property fmtid="{D5CDD505-2E9C-101B-9397-08002B2CF9AE}" pid="8" name="MSIP_Label_dea03c14-1435-4ef5-bb92-af8fb4129243_ContentBits">
    <vt:lpwstr>0</vt:lpwstr>
  </property>
</Properties>
</file>